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785F63" w:rsidRDefault="00785F63" w:rsidP="008C07FA">
      <w:pPr>
        <w:pStyle w:val="Textoindependiente"/>
        <w:jc w:val="both"/>
        <w:rPr>
          <w:color w:val="000000"/>
        </w:rPr>
      </w:pPr>
    </w:p>
    <w:p w:rsidR="00F92B38" w:rsidRDefault="00000000" w:rsidP="008C07FA">
      <w:pPr>
        <w:pStyle w:val="Textoindependiente"/>
        <w:jc w:val="both"/>
        <w:rPr>
          <w:rFonts w:hint="eastAsia"/>
        </w:rPr>
      </w:pPr>
      <w:r>
        <w:rPr>
          <w:color w:val="000000"/>
        </w:rPr>
        <w:t>El objetivo es verificar la conformidad, identificar diferencias y fundamentar la posible descalificación de la oferta.</w:t>
      </w:r>
    </w:p>
    <w:p w:rsidR="00F92B38" w:rsidRDefault="00000000" w:rsidP="008C07FA">
      <w:pPr>
        <w:pStyle w:val="Textoindependiente"/>
        <w:jc w:val="both"/>
        <w:rPr>
          <w:rFonts w:hint="eastAsia"/>
          <w:color w:val="000000"/>
        </w:rPr>
      </w:pPr>
      <w:r>
        <w:rPr>
          <w:color w:val="000000"/>
        </w:rPr>
        <w:t>A continuación, presento el análisis comparativo estructurado según lo solicitado, destacando los puntos de conformidad y, principalmente, las no conformidades.</w:t>
      </w:r>
    </w:p>
    <w:p w:rsidR="00F92B38" w:rsidRDefault="00000000" w:rsidP="008C07FA">
      <w:pPr>
        <w:pStyle w:val="Ttulo3"/>
        <w:spacing w:before="0" w:after="140" w:line="276" w:lineRule="auto"/>
        <w:jc w:val="both"/>
        <w:rPr>
          <w:rFonts w:hint="eastAsia"/>
          <w:color w:val="000000"/>
        </w:rPr>
      </w:pPr>
      <w:r>
        <w:rPr>
          <w:color w:val="000000"/>
        </w:rPr>
        <w:t xml:space="preserve">Análisis Comparativo Detallado: Especificaciones de la Licitación de Cartagena (Anexo 3) vs. Oferta del </w:t>
      </w:r>
      <w:proofErr w:type="spellStart"/>
      <w:r>
        <w:rPr>
          <w:color w:val="000000"/>
        </w:rPr>
        <w:t>Busetón</w:t>
      </w:r>
      <w:proofErr w:type="spellEnd"/>
      <w:r>
        <w:rPr>
          <w:color w:val="000000"/>
        </w:rPr>
        <w:t xml:space="preserve"> Eléctrico (FT)</w:t>
      </w:r>
    </w:p>
    <w:p w:rsidR="00F92B38" w:rsidRDefault="00000000" w:rsidP="008C07FA">
      <w:pPr>
        <w:pStyle w:val="Textoindependiente"/>
        <w:jc w:val="both"/>
        <w:rPr>
          <w:rFonts w:hint="eastAsia"/>
        </w:rPr>
      </w:pPr>
      <w:r>
        <w:rPr>
          <w:color w:val="000000"/>
        </w:rPr>
        <w:t xml:space="preserve">Para este análisis, me referiré al documento "Anexo 3. ESPECIFICACIONES TECNICAS AUTOBUSES TRANSCARIBE (1)" como </w:t>
      </w:r>
      <w:r>
        <w:rPr>
          <w:rStyle w:val="Textoennegrita"/>
          <w:color w:val="000000"/>
        </w:rPr>
        <w:t>Anexo 3</w:t>
      </w:r>
      <w:r>
        <w:rPr>
          <w:color w:val="000000"/>
        </w:rPr>
        <w:t xml:space="preserve"> y al documento "FT BUSETON ELECTRICO DD6851EV13E" como </w:t>
      </w:r>
      <w:r>
        <w:rPr>
          <w:rStyle w:val="Textoennegrita"/>
          <w:color w:val="000000"/>
        </w:rPr>
        <w:t xml:space="preserve">FT </w:t>
      </w:r>
      <w:proofErr w:type="spellStart"/>
      <w:r>
        <w:rPr>
          <w:rStyle w:val="Textoennegrita"/>
          <w:color w:val="000000"/>
        </w:rPr>
        <w:t>Busetón</w:t>
      </w:r>
      <w:proofErr w:type="spellEnd"/>
      <w:r>
        <w:rPr>
          <w:color w:val="000000"/>
        </w:rPr>
        <w:t>.</w:t>
      </w:r>
    </w:p>
    <w:p w:rsidR="00F92B38" w:rsidRDefault="00000000">
      <w:pPr>
        <w:pStyle w:val="Textoindependiente"/>
        <w:rPr>
          <w:rFonts w:hint="eastAsia"/>
        </w:rPr>
      </w:pPr>
      <w:r>
        <w:rPr>
          <w:rStyle w:val="Textoennegrita"/>
          <w:color w:val="000000"/>
        </w:rPr>
        <w:t>I. Verificación de Conformidad y Comparación Directa</w:t>
      </w:r>
    </w:p>
    <w:p w:rsidR="00F92B38" w:rsidRDefault="00000000">
      <w:pPr>
        <w:pStyle w:val="Textoindependiente"/>
        <w:rPr>
          <w:rFonts w:hint="eastAsia"/>
        </w:rPr>
      </w:pPr>
      <w:r>
        <w:rPr>
          <w:color w:val="000000"/>
        </w:rPr>
        <w:t xml:space="preserve">Vamos a comparar los requisitos del </w:t>
      </w:r>
      <w:r>
        <w:rPr>
          <w:rStyle w:val="Textoennegrita"/>
          <w:color w:val="000000"/>
        </w:rPr>
        <w:t>Anexo 3</w:t>
      </w:r>
      <w:r>
        <w:rPr>
          <w:color w:val="000000"/>
        </w:rPr>
        <w:t xml:space="preserve"> para los "Autobuses </w:t>
      </w:r>
      <w:proofErr w:type="spellStart"/>
      <w:r>
        <w:rPr>
          <w:color w:val="000000"/>
        </w:rPr>
        <w:t>Busetones</w:t>
      </w:r>
      <w:proofErr w:type="spellEnd"/>
      <w:r>
        <w:rPr>
          <w:color w:val="000000"/>
        </w:rPr>
        <w:t xml:space="preserve">" (Sección 4) con las especificaciones presentadas en la </w:t>
      </w:r>
      <w:r>
        <w:rPr>
          <w:rStyle w:val="Textoennegrita"/>
          <w:color w:val="000000"/>
        </w:rPr>
        <w:t xml:space="preserve">FT </w:t>
      </w:r>
      <w:proofErr w:type="spellStart"/>
      <w:r>
        <w:rPr>
          <w:rStyle w:val="Textoennegrita"/>
          <w:color w:val="000000"/>
        </w:rPr>
        <w:t>Busetón</w:t>
      </w:r>
      <w:proofErr w:type="spellEnd"/>
      <w:r>
        <w:rPr>
          <w:color w:val="000000"/>
        </w:rPr>
        <w:t>.</w:t>
      </w:r>
    </w:p>
    <w:tbl>
      <w:tblPr>
        <w:tblW w:w="9972" w:type="dxa"/>
        <w:tblLayout w:type="fixed"/>
        <w:tblCellMar>
          <w:top w:w="120" w:type="dxa"/>
          <w:left w:w="120" w:type="dxa"/>
          <w:bottom w:w="120" w:type="dxa"/>
          <w:right w:w="120" w:type="dxa"/>
        </w:tblCellMar>
        <w:tblLook w:val="0000" w:firstRow="0" w:lastRow="0" w:firstColumn="0" w:lastColumn="0" w:noHBand="0" w:noVBand="0"/>
      </w:tblPr>
      <w:tblGrid>
        <w:gridCol w:w="1856"/>
        <w:gridCol w:w="2353"/>
        <w:gridCol w:w="2524"/>
        <w:gridCol w:w="3239"/>
      </w:tblGrid>
      <w:tr w:rsidR="00F92B38" w:rsidTr="00B25C6B">
        <w:trPr>
          <w:tblHeader/>
        </w:trPr>
        <w:tc>
          <w:tcPr>
            <w:tcW w:w="1856" w:type="dxa"/>
            <w:tcBorders>
              <w:top w:val="single" w:sz="2" w:space="0" w:color="DDDDDD"/>
              <w:left w:val="single" w:sz="2" w:space="0" w:color="DDDDDD"/>
              <w:bottom w:val="single" w:sz="2" w:space="0" w:color="DDDDDD"/>
              <w:right w:val="single" w:sz="2" w:space="0" w:color="DDDDDD"/>
            </w:tcBorders>
            <w:shd w:val="clear" w:color="auto" w:fill="F2F2F2"/>
            <w:vAlign w:val="center"/>
          </w:tcPr>
          <w:p w:rsidR="00F92B38" w:rsidRDefault="00000000">
            <w:pPr>
              <w:pStyle w:val="TableHeading"/>
              <w:jc w:val="left"/>
              <w:rPr>
                <w:rFonts w:hint="eastAsia"/>
                <w:color w:val="000000"/>
              </w:rPr>
            </w:pPr>
            <w:r>
              <w:rPr>
                <w:color w:val="000000"/>
              </w:rPr>
              <w:t>Aspecto</w:t>
            </w:r>
          </w:p>
        </w:tc>
        <w:tc>
          <w:tcPr>
            <w:tcW w:w="2353" w:type="dxa"/>
            <w:tcBorders>
              <w:top w:val="single" w:sz="2" w:space="0" w:color="DDDDDD"/>
              <w:left w:val="single" w:sz="2" w:space="0" w:color="DDDDDD"/>
              <w:bottom w:val="single" w:sz="2" w:space="0" w:color="DDDDDD"/>
              <w:right w:val="single" w:sz="2" w:space="0" w:color="DDDDDD"/>
            </w:tcBorders>
            <w:shd w:val="clear" w:color="auto" w:fill="F2F2F2"/>
            <w:vAlign w:val="center"/>
          </w:tcPr>
          <w:p w:rsidR="00F92B38" w:rsidRDefault="00000000">
            <w:pPr>
              <w:pStyle w:val="TableHeading"/>
              <w:jc w:val="left"/>
              <w:rPr>
                <w:rFonts w:hint="eastAsia"/>
                <w:color w:val="000000"/>
              </w:rPr>
            </w:pPr>
            <w:r>
              <w:rPr>
                <w:color w:val="000000"/>
              </w:rPr>
              <w:t xml:space="preserve">Requisito de la Licitación (Anexo 3 - </w:t>
            </w:r>
            <w:proofErr w:type="spellStart"/>
            <w:r>
              <w:rPr>
                <w:color w:val="000000"/>
              </w:rPr>
              <w:t>Busetones</w:t>
            </w:r>
            <w:proofErr w:type="spellEnd"/>
            <w:r>
              <w:rPr>
                <w:color w:val="000000"/>
              </w:rPr>
              <w:t>)</w:t>
            </w:r>
          </w:p>
        </w:tc>
        <w:tc>
          <w:tcPr>
            <w:tcW w:w="2524" w:type="dxa"/>
            <w:tcBorders>
              <w:top w:val="single" w:sz="2" w:space="0" w:color="DDDDDD"/>
              <w:left w:val="single" w:sz="2" w:space="0" w:color="DDDDDD"/>
              <w:bottom w:val="single" w:sz="2" w:space="0" w:color="DDDDDD"/>
              <w:right w:val="single" w:sz="2" w:space="0" w:color="DDDDDD"/>
            </w:tcBorders>
            <w:shd w:val="clear" w:color="auto" w:fill="F2F2F2"/>
            <w:vAlign w:val="center"/>
          </w:tcPr>
          <w:p w:rsidR="00F92B38" w:rsidRDefault="00000000">
            <w:pPr>
              <w:pStyle w:val="TableHeading"/>
              <w:jc w:val="left"/>
              <w:rPr>
                <w:rFonts w:hint="eastAsia"/>
                <w:color w:val="000000"/>
              </w:rPr>
            </w:pPr>
            <w:r>
              <w:rPr>
                <w:color w:val="000000"/>
              </w:rPr>
              <w:t xml:space="preserve">Oferta (FT </w:t>
            </w:r>
            <w:proofErr w:type="spellStart"/>
            <w:r>
              <w:rPr>
                <w:color w:val="000000"/>
              </w:rPr>
              <w:t>Busetón</w:t>
            </w:r>
            <w:proofErr w:type="spellEnd"/>
            <w:r>
              <w:rPr>
                <w:color w:val="000000"/>
              </w:rPr>
              <w:t xml:space="preserve"> Eléctrico DD6851EV13E)</w:t>
            </w:r>
          </w:p>
        </w:tc>
        <w:tc>
          <w:tcPr>
            <w:tcW w:w="3239" w:type="dxa"/>
            <w:tcBorders>
              <w:top w:val="single" w:sz="2" w:space="0" w:color="DDDDDD"/>
              <w:left w:val="single" w:sz="2" w:space="0" w:color="DDDDDD"/>
              <w:bottom w:val="single" w:sz="2" w:space="0" w:color="DDDDDD"/>
              <w:right w:val="single" w:sz="2" w:space="0" w:color="DDDDDD"/>
            </w:tcBorders>
            <w:shd w:val="clear" w:color="auto" w:fill="F2F2F2"/>
            <w:vAlign w:val="center"/>
          </w:tcPr>
          <w:p w:rsidR="00F92B38" w:rsidRDefault="00000000">
            <w:pPr>
              <w:pStyle w:val="TableHeading"/>
              <w:jc w:val="left"/>
              <w:rPr>
                <w:rFonts w:hint="eastAsia"/>
                <w:color w:val="000000"/>
              </w:rPr>
            </w:pPr>
            <w:r>
              <w:rPr>
                <w:color w:val="000000"/>
              </w:rPr>
              <w:t>Conformidad / Observaciones</w:t>
            </w:r>
          </w:p>
        </w:tc>
      </w:tr>
      <w:tr w:rsidR="00F92B38" w:rsidTr="00B25C6B">
        <w:tc>
          <w:tcPr>
            <w:tcW w:w="1856"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**1. Características Generales (Anexo 3, 4.1)**</w:t>
            </w:r>
          </w:p>
        </w:tc>
        <w:tc>
          <w:tcPr>
            <w:tcW w:w="2353" w:type="dxa"/>
            <w:tcBorders>
              <w:top w:val="single" w:sz="2" w:space="0" w:color="DDDDDD"/>
              <w:left w:val="single" w:sz="2" w:space="0" w:color="DDDDDD"/>
              <w:bottom w:val="single" w:sz="2" w:space="0" w:color="DDDDDD"/>
              <w:right w:val="single" w:sz="2" w:space="0" w:color="DDDDDD"/>
            </w:tcBorders>
            <w:vAlign w:val="center"/>
          </w:tcPr>
          <w:p w:rsidR="00F92B38" w:rsidRDefault="00F92B38">
            <w:pPr>
              <w:pStyle w:val="TableContents"/>
              <w:rPr>
                <w:rFonts w:hint="eastAsia"/>
                <w:sz w:val="4"/>
                <w:szCs w:val="4"/>
              </w:rPr>
            </w:pPr>
          </w:p>
        </w:tc>
        <w:tc>
          <w:tcPr>
            <w:tcW w:w="2524" w:type="dxa"/>
            <w:tcBorders>
              <w:top w:val="single" w:sz="2" w:space="0" w:color="DDDDDD"/>
              <w:left w:val="single" w:sz="2" w:space="0" w:color="DDDDDD"/>
              <w:bottom w:val="single" w:sz="2" w:space="0" w:color="DDDDDD"/>
              <w:right w:val="single" w:sz="2" w:space="0" w:color="DDDDDD"/>
            </w:tcBorders>
            <w:vAlign w:val="center"/>
          </w:tcPr>
          <w:p w:rsidR="00F92B38" w:rsidRDefault="00F92B38">
            <w:pPr>
              <w:pStyle w:val="TableContents"/>
              <w:rPr>
                <w:rFonts w:hint="eastAsia"/>
                <w:sz w:val="4"/>
                <w:szCs w:val="4"/>
              </w:rPr>
            </w:pPr>
          </w:p>
        </w:tc>
        <w:tc>
          <w:tcPr>
            <w:tcW w:w="3239" w:type="dxa"/>
            <w:tcBorders>
              <w:top w:val="single" w:sz="2" w:space="0" w:color="DDDDDD"/>
              <w:left w:val="single" w:sz="2" w:space="0" w:color="DDDDDD"/>
              <w:bottom w:val="single" w:sz="2" w:space="0" w:color="DDDDDD"/>
              <w:right w:val="single" w:sz="2" w:space="0" w:color="DDDDDD"/>
            </w:tcBorders>
            <w:vAlign w:val="center"/>
          </w:tcPr>
          <w:p w:rsidR="00F92B38" w:rsidRDefault="00F92B38">
            <w:pPr>
              <w:pStyle w:val="TableContents"/>
              <w:rPr>
                <w:rFonts w:hint="eastAsia"/>
                <w:sz w:val="4"/>
                <w:szCs w:val="4"/>
              </w:rPr>
            </w:pPr>
          </w:p>
        </w:tc>
      </w:tr>
      <w:tr w:rsidR="00F92B38" w:rsidTr="00B25C6B">
        <w:tc>
          <w:tcPr>
            <w:tcW w:w="1856"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Tipo de Propulsión</w:t>
            </w:r>
          </w:p>
        </w:tc>
        <w:tc>
          <w:tcPr>
            <w:tcW w:w="2353"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GNV, Eléctrico y/o Híbrido GNV-Eléctrico, Euro VI o superior.</w:t>
            </w:r>
          </w:p>
        </w:tc>
        <w:tc>
          <w:tcPr>
            <w:tcW w:w="2524"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 xml:space="preserve">Eléctrico (batería de 255.02kW•h, motor de accionamiento eléctrico). Pag 2 </w:t>
            </w:r>
            <w:proofErr w:type="spellStart"/>
            <w:r>
              <w:rPr>
                <w:color w:val="000000"/>
              </w:rPr>
              <w:t>num</w:t>
            </w:r>
            <w:proofErr w:type="spellEnd"/>
            <w:r>
              <w:rPr>
                <w:color w:val="000000"/>
              </w:rPr>
              <w:t xml:space="preserve"> 1</w:t>
            </w:r>
          </w:p>
        </w:tc>
        <w:tc>
          <w:tcPr>
            <w:tcW w:w="3239"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**CONFORME**. El eléctrico es una tecnología de cero emisiones.</w:t>
            </w:r>
          </w:p>
        </w:tc>
      </w:tr>
      <w:tr w:rsidR="00F92B38" w:rsidTr="00B25C6B">
        <w:tc>
          <w:tcPr>
            <w:tcW w:w="1856"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Autonomía Mínima</w:t>
            </w:r>
          </w:p>
        </w:tc>
        <w:tc>
          <w:tcPr>
            <w:tcW w:w="2353"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 xml:space="preserve">200 km (general, 4.3.1.c) </w:t>
            </w:r>
            <w:proofErr w:type="spellStart"/>
            <w:r>
              <w:rPr>
                <w:color w:val="000000"/>
              </w:rPr>
              <w:t>pag</w:t>
            </w:r>
            <w:proofErr w:type="spellEnd"/>
            <w:r>
              <w:rPr>
                <w:color w:val="000000"/>
              </w:rPr>
              <w:t xml:space="preserve"> 92</w:t>
            </w:r>
          </w:p>
        </w:tc>
        <w:tc>
          <w:tcPr>
            <w:tcW w:w="2524"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 xml:space="preserve">No especificado directamente en la FT. Menciona solo la capacidad de la batería (255.02kW•h). Pag 2 </w:t>
            </w:r>
            <w:proofErr w:type="spellStart"/>
            <w:r>
              <w:rPr>
                <w:color w:val="000000"/>
              </w:rPr>
              <w:t>num</w:t>
            </w:r>
            <w:proofErr w:type="spellEnd"/>
            <w:r>
              <w:rPr>
                <w:color w:val="000000"/>
              </w:rPr>
              <w:t xml:space="preserve"> 1</w:t>
            </w:r>
          </w:p>
        </w:tc>
        <w:tc>
          <w:tcPr>
            <w:tcW w:w="3239"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w:t>
            </w:r>
            <w:r w:rsidRPr="00785F63">
              <w:rPr>
                <w:color w:val="000000"/>
              </w:rPr>
              <w:t>NO CONFORME**. La FT no declara la autonomía mínima exigida de 200 km para vehículos eléctricos</w:t>
            </w:r>
            <w:r>
              <w:rPr>
                <w:color w:val="000000"/>
              </w:rPr>
              <w:t>. Es un dato crítico para la operación.</w:t>
            </w:r>
          </w:p>
        </w:tc>
      </w:tr>
      <w:tr w:rsidR="00F92B38" w:rsidTr="00B25C6B">
        <w:tc>
          <w:tcPr>
            <w:tcW w:w="1856" w:type="dxa"/>
            <w:tcBorders>
              <w:top w:val="single" w:sz="2" w:space="0" w:color="DDDDDD"/>
              <w:left w:val="single" w:sz="2" w:space="0" w:color="DDDDDD"/>
              <w:bottom w:val="single" w:sz="2" w:space="0" w:color="DDDDDD"/>
              <w:right w:val="single" w:sz="2" w:space="0" w:color="DDDDDD"/>
            </w:tcBorders>
            <w:vAlign w:val="center"/>
          </w:tcPr>
          <w:p w:rsidR="00F92B38" w:rsidRDefault="00F92B38">
            <w:pPr>
              <w:pStyle w:val="TableContents"/>
              <w:rPr>
                <w:rFonts w:hint="eastAsia"/>
                <w:color w:val="000000"/>
              </w:rPr>
            </w:pPr>
          </w:p>
        </w:tc>
        <w:tc>
          <w:tcPr>
            <w:tcW w:w="2353" w:type="dxa"/>
            <w:tcBorders>
              <w:top w:val="single" w:sz="2" w:space="0" w:color="DDDDDD"/>
              <w:left w:val="single" w:sz="2" w:space="0" w:color="DDDDDD"/>
              <w:bottom w:val="single" w:sz="2" w:space="0" w:color="DDDDDD"/>
              <w:right w:val="single" w:sz="2" w:space="0" w:color="DDDDDD"/>
            </w:tcBorders>
            <w:vAlign w:val="center"/>
          </w:tcPr>
          <w:p w:rsidR="00F92B38" w:rsidRDefault="00F92B38">
            <w:pPr>
              <w:pStyle w:val="TableContents"/>
              <w:rPr>
                <w:rFonts w:hint="eastAsia"/>
                <w:color w:val="000000"/>
              </w:rPr>
            </w:pPr>
          </w:p>
        </w:tc>
        <w:tc>
          <w:tcPr>
            <w:tcW w:w="2524" w:type="dxa"/>
            <w:tcBorders>
              <w:top w:val="single" w:sz="2" w:space="0" w:color="DDDDDD"/>
              <w:left w:val="single" w:sz="2" w:space="0" w:color="DDDDDD"/>
              <w:bottom w:val="single" w:sz="2" w:space="0" w:color="DDDDDD"/>
              <w:right w:val="single" w:sz="2" w:space="0" w:color="DDDDDD"/>
            </w:tcBorders>
            <w:vAlign w:val="center"/>
          </w:tcPr>
          <w:p w:rsidR="00F92B38" w:rsidRDefault="00F92B38">
            <w:pPr>
              <w:pStyle w:val="TableContents"/>
              <w:rPr>
                <w:rFonts w:hint="eastAsia"/>
                <w:color w:val="000000"/>
              </w:rPr>
            </w:pPr>
          </w:p>
        </w:tc>
        <w:tc>
          <w:tcPr>
            <w:tcW w:w="3239" w:type="dxa"/>
            <w:tcBorders>
              <w:top w:val="single" w:sz="2" w:space="0" w:color="DDDDDD"/>
              <w:left w:val="single" w:sz="2" w:space="0" w:color="DDDDDD"/>
              <w:bottom w:val="single" w:sz="2" w:space="0" w:color="DDDDDD"/>
              <w:right w:val="single" w:sz="2" w:space="0" w:color="DDDDDD"/>
            </w:tcBorders>
            <w:vAlign w:val="center"/>
          </w:tcPr>
          <w:p w:rsidR="00F92B38" w:rsidRDefault="00F92B38">
            <w:pPr>
              <w:pStyle w:val="TableContents"/>
              <w:rPr>
                <w:rFonts w:hint="eastAsia"/>
                <w:color w:val="000000"/>
              </w:rPr>
            </w:pPr>
          </w:p>
        </w:tc>
      </w:tr>
      <w:tr w:rsidR="00F92B38" w:rsidTr="00B25C6B">
        <w:tc>
          <w:tcPr>
            <w:tcW w:w="1856" w:type="dxa"/>
            <w:tcBorders>
              <w:top w:val="single" w:sz="2" w:space="0" w:color="DDDDDD"/>
              <w:left w:val="single" w:sz="2" w:space="0" w:color="DDDDDD"/>
              <w:bottom w:val="single" w:sz="2" w:space="0" w:color="DDDDDD"/>
              <w:right w:val="single" w:sz="2" w:space="0" w:color="DDDDDD"/>
            </w:tcBorders>
            <w:vAlign w:val="center"/>
          </w:tcPr>
          <w:p w:rsidR="00F92B38" w:rsidRDefault="00F92B38">
            <w:pPr>
              <w:pStyle w:val="TableContents"/>
              <w:rPr>
                <w:rFonts w:hint="eastAsia"/>
                <w:color w:val="000000"/>
              </w:rPr>
            </w:pPr>
          </w:p>
        </w:tc>
        <w:tc>
          <w:tcPr>
            <w:tcW w:w="2353" w:type="dxa"/>
            <w:tcBorders>
              <w:top w:val="single" w:sz="2" w:space="0" w:color="DDDDDD"/>
              <w:left w:val="single" w:sz="2" w:space="0" w:color="DDDDDD"/>
              <w:bottom w:val="single" w:sz="2" w:space="0" w:color="DDDDDD"/>
              <w:right w:val="single" w:sz="2" w:space="0" w:color="DDDDDD"/>
            </w:tcBorders>
            <w:vAlign w:val="center"/>
          </w:tcPr>
          <w:p w:rsidR="00F92B38" w:rsidRDefault="00F92B38">
            <w:pPr>
              <w:pStyle w:val="TableContents"/>
              <w:rPr>
                <w:rFonts w:hint="eastAsia"/>
                <w:color w:val="000000"/>
              </w:rPr>
            </w:pPr>
          </w:p>
        </w:tc>
        <w:tc>
          <w:tcPr>
            <w:tcW w:w="2524" w:type="dxa"/>
            <w:tcBorders>
              <w:top w:val="single" w:sz="2" w:space="0" w:color="DDDDDD"/>
              <w:left w:val="single" w:sz="2" w:space="0" w:color="DDDDDD"/>
              <w:bottom w:val="single" w:sz="2" w:space="0" w:color="DDDDDD"/>
              <w:right w:val="single" w:sz="2" w:space="0" w:color="DDDDDD"/>
            </w:tcBorders>
            <w:vAlign w:val="center"/>
          </w:tcPr>
          <w:p w:rsidR="00F92B38" w:rsidRDefault="00F92B38">
            <w:pPr>
              <w:pStyle w:val="TableContents"/>
              <w:rPr>
                <w:rFonts w:hint="eastAsia"/>
                <w:color w:val="000000"/>
              </w:rPr>
            </w:pPr>
          </w:p>
        </w:tc>
        <w:tc>
          <w:tcPr>
            <w:tcW w:w="3239" w:type="dxa"/>
            <w:tcBorders>
              <w:top w:val="single" w:sz="2" w:space="0" w:color="DDDDDD"/>
              <w:left w:val="single" w:sz="2" w:space="0" w:color="DDDDDD"/>
              <w:bottom w:val="single" w:sz="2" w:space="0" w:color="DDDDDD"/>
              <w:right w:val="single" w:sz="2" w:space="0" w:color="DDDDDD"/>
            </w:tcBorders>
            <w:vAlign w:val="center"/>
          </w:tcPr>
          <w:p w:rsidR="00F92B38" w:rsidRDefault="00F92B38">
            <w:pPr>
              <w:pStyle w:val="TableContents"/>
              <w:rPr>
                <w:rFonts w:hint="eastAsia"/>
                <w:color w:val="000000"/>
              </w:rPr>
            </w:pPr>
          </w:p>
        </w:tc>
      </w:tr>
      <w:tr w:rsidR="00F92B38" w:rsidTr="00B25C6B">
        <w:tc>
          <w:tcPr>
            <w:tcW w:w="1856"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lastRenderedPageBreak/>
              <w:t>Piso Bajo</w:t>
            </w:r>
          </w:p>
        </w:tc>
        <w:tc>
          <w:tcPr>
            <w:tcW w:w="2353"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El autobús debe ser de piso bajo (4.1.e). Pag 93</w:t>
            </w:r>
          </w:p>
        </w:tc>
        <w:tc>
          <w:tcPr>
            <w:tcW w:w="2524"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 xml:space="preserve">Oferta de entrada baja. </w:t>
            </w:r>
          </w:p>
          <w:p w:rsidR="00F92B38" w:rsidRDefault="00000000">
            <w:pPr>
              <w:pStyle w:val="TableContents"/>
              <w:rPr>
                <w:rFonts w:hint="eastAsia"/>
                <w:color w:val="000000"/>
              </w:rPr>
            </w:pPr>
            <w:r>
              <w:rPr>
                <w:color w:val="000000"/>
              </w:rPr>
              <w:t xml:space="preserve">Pag 2 </w:t>
            </w:r>
            <w:proofErr w:type="spellStart"/>
            <w:r>
              <w:rPr>
                <w:color w:val="000000"/>
              </w:rPr>
              <w:t>num</w:t>
            </w:r>
            <w:proofErr w:type="spellEnd"/>
            <w:r>
              <w:rPr>
                <w:color w:val="000000"/>
              </w:rPr>
              <w:t xml:space="preserve"> 3 </w:t>
            </w:r>
          </w:p>
        </w:tc>
        <w:tc>
          <w:tcPr>
            <w:tcW w:w="3239" w:type="dxa"/>
            <w:tcBorders>
              <w:top w:val="single" w:sz="2" w:space="0" w:color="DDDDDD"/>
              <w:left w:val="single" w:sz="2" w:space="0" w:color="DDDDDD"/>
              <w:bottom w:val="single" w:sz="2" w:space="0" w:color="DDDDDD"/>
              <w:right w:val="single" w:sz="2" w:space="0" w:color="DDDDDD"/>
            </w:tcBorders>
            <w:vAlign w:val="center"/>
          </w:tcPr>
          <w:p w:rsidR="00F92B38" w:rsidRPr="00785F63" w:rsidRDefault="00000000">
            <w:pPr>
              <w:pStyle w:val="TableContents"/>
              <w:rPr>
                <w:rFonts w:hint="eastAsia"/>
                <w:color w:val="000000"/>
              </w:rPr>
            </w:pPr>
            <w:r w:rsidRPr="00785F63">
              <w:rPr>
                <w:color w:val="000000"/>
              </w:rPr>
              <w:t>**NO CONFORME**. Implica un diseño de piso bajo. Entrada baja es distinto de piso bajo que no puede tener escalones internos.</w:t>
            </w:r>
          </w:p>
        </w:tc>
      </w:tr>
      <w:tr w:rsidR="00F92B38" w:rsidTr="00B25C6B">
        <w:tc>
          <w:tcPr>
            <w:tcW w:w="1856"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Vida Útil de la Batería</w:t>
            </w:r>
          </w:p>
        </w:tc>
        <w:tc>
          <w:tcPr>
            <w:tcW w:w="2353"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15 años o reemplazo gratuito después de 8 años . Pag 51 Mantener 10 años de capacidad de carga (4.4.3.3.d). Pag 91</w:t>
            </w:r>
          </w:p>
        </w:tc>
        <w:tc>
          <w:tcPr>
            <w:tcW w:w="2524"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No especificado. Solo capacidad (255.02kW•h) y fabricante (CATL).</w:t>
            </w:r>
          </w:p>
        </w:tc>
        <w:tc>
          <w:tcPr>
            <w:tcW w:w="3239" w:type="dxa"/>
            <w:tcBorders>
              <w:top w:val="single" w:sz="2" w:space="0" w:color="DDDDDD"/>
              <w:left w:val="single" w:sz="2" w:space="0" w:color="DDDDDD"/>
              <w:bottom w:val="single" w:sz="2" w:space="0" w:color="DDDDDD"/>
              <w:right w:val="single" w:sz="2" w:space="0" w:color="DDDDDD"/>
            </w:tcBorders>
            <w:vAlign w:val="center"/>
          </w:tcPr>
          <w:p w:rsidR="00F92B38" w:rsidRPr="00785F63" w:rsidRDefault="00000000">
            <w:pPr>
              <w:pStyle w:val="TableContents"/>
              <w:rPr>
                <w:rFonts w:hint="eastAsia"/>
                <w:color w:val="000000"/>
              </w:rPr>
            </w:pPr>
            <w:r w:rsidRPr="00785F63">
              <w:rPr>
                <w:color w:val="000000"/>
              </w:rPr>
              <w:t>**NO CONFORME**. La oferta no aborda la vida útil de la batería, garantía de reemplazo, o mantenimiento de la capacidad de carga por 10 años.</w:t>
            </w:r>
          </w:p>
        </w:tc>
      </w:tr>
      <w:tr w:rsidR="00F92B38" w:rsidTr="00B25C6B">
        <w:tc>
          <w:tcPr>
            <w:tcW w:w="1856" w:type="dxa"/>
            <w:tcBorders>
              <w:top w:val="single" w:sz="2" w:space="0" w:color="DDDDDD"/>
              <w:left w:val="single" w:sz="2" w:space="0" w:color="DDDDDD"/>
              <w:bottom w:val="single" w:sz="2" w:space="0" w:color="DDDDDD"/>
              <w:right w:val="single" w:sz="2" w:space="0" w:color="DDDDDD"/>
            </w:tcBorders>
            <w:vAlign w:val="center"/>
          </w:tcPr>
          <w:p w:rsidR="00F92B38" w:rsidRDefault="00F92B38">
            <w:pPr>
              <w:pStyle w:val="TableContents"/>
              <w:rPr>
                <w:rFonts w:hint="eastAsia"/>
                <w:color w:val="000000"/>
              </w:rPr>
            </w:pPr>
          </w:p>
        </w:tc>
        <w:tc>
          <w:tcPr>
            <w:tcW w:w="2353" w:type="dxa"/>
            <w:tcBorders>
              <w:top w:val="single" w:sz="2" w:space="0" w:color="DDDDDD"/>
              <w:left w:val="single" w:sz="2" w:space="0" w:color="DDDDDD"/>
              <w:bottom w:val="single" w:sz="2" w:space="0" w:color="DDDDDD"/>
              <w:right w:val="single" w:sz="2" w:space="0" w:color="DDDDDD"/>
            </w:tcBorders>
            <w:vAlign w:val="center"/>
          </w:tcPr>
          <w:p w:rsidR="00F92B38" w:rsidRDefault="00F92B38">
            <w:pPr>
              <w:pStyle w:val="TableContents"/>
              <w:rPr>
                <w:rFonts w:hint="eastAsia"/>
                <w:color w:val="000000"/>
              </w:rPr>
            </w:pPr>
          </w:p>
        </w:tc>
        <w:tc>
          <w:tcPr>
            <w:tcW w:w="2524" w:type="dxa"/>
            <w:tcBorders>
              <w:top w:val="single" w:sz="2" w:space="0" w:color="DDDDDD"/>
              <w:left w:val="single" w:sz="2" w:space="0" w:color="DDDDDD"/>
              <w:bottom w:val="single" w:sz="2" w:space="0" w:color="DDDDDD"/>
              <w:right w:val="single" w:sz="2" w:space="0" w:color="DDDDDD"/>
            </w:tcBorders>
            <w:vAlign w:val="center"/>
          </w:tcPr>
          <w:p w:rsidR="00F92B38" w:rsidRDefault="00F92B38">
            <w:pPr>
              <w:pStyle w:val="TableContents"/>
              <w:rPr>
                <w:rFonts w:hint="eastAsia"/>
                <w:color w:val="000000"/>
              </w:rPr>
            </w:pPr>
          </w:p>
        </w:tc>
        <w:tc>
          <w:tcPr>
            <w:tcW w:w="3239" w:type="dxa"/>
            <w:tcBorders>
              <w:top w:val="single" w:sz="2" w:space="0" w:color="DDDDDD"/>
              <w:left w:val="single" w:sz="2" w:space="0" w:color="DDDDDD"/>
              <w:bottom w:val="single" w:sz="2" w:space="0" w:color="DDDDDD"/>
              <w:right w:val="single" w:sz="2" w:space="0" w:color="DDDDDD"/>
            </w:tcBorders>
            <w:vAlign w:val="center"/>
          </w:tcPr>
          <w:p w:rsidR="00F92B38" w:rsidRPr="00785F63" w:rsidRDefault="00F92B38">
            <w:pPr>
              <w:pStyle w:val="TableContents"/>
              <w:rPr>
                <w:rFonts w:hint="eastAsia"/>
                <w:color w:val="000000"/>
              </w:rPr>
            </w:pPr>
          </w:p>
        </w:tc>
      </w:tr>
      <w:tr w:rsidR="00F92B38" w:rsidTr="00B25C6B">
        <w:tc>
          <w:tcPr>
            <w:tcW w:w="1856" w:type="dxa"/>
            <w:tcBorders>
              <w:top w:val="single" w:sz="2" w:space="0" w:color="DDDDDD"/>
              <w:left w:val="single" w:sz="2" w:space="0" w:color="DDDDDD"/>
              <w:bottom w:val="single" w:sz="2" w:space="0" w:color="DDDDDD"/>
              <w:right w:val="single" w:sz="2" w:space="0" w:color="DDDDDD"/>
            </w:tcBorders>
            <w:vAlign w:val="center"/>
          </w:tcPr>
          <w:p w:rsidR="00F92B38" w:rsidRDefault="00F92B38">
            <w:pPr>
              <w:pStyle w:val="TableContents"/>
              <w:rPr>
                <w:rFonts w:hint="eastAsia"/>
                <w:color w:val="000000"/>
              </w:rPr>
            </w:pPr>
          </w:p>
        </w:tc>
        <w:tc>
          <w:tcPr>
            <w:tcW w:w="2353" w:type="dxa"/>
            <w:tcBorders>
              <w:top w:val="single" w:sz="2" w:space="0" w:color="DDDDDD"/>
              <w:left w:val="single" w:sz="2" w:space="0" w:color="DDDDDD"/>
              <w:bottom w:val="single" w:sz="2" w:space="0" w:color="DDDDDD"/>
              <w:right w:val="single" w:sz="2" w:space="0" w:color="DDDDDD"/>
            </w:tcBorders>
            <w:vAlign w:val="center"/>
          </w:tcPr>
          <w:p w:rsidR="00F92B38" w:rsidRDefault="00F92B38">
            <w:pPr>
              <w:pStyle w:val="TableContents"/>
              <w:rPr>
                <w:rFonts w:hint="eastAsia"/>
                <w:color w:val="000000"/>
              </w:rPr>
            </w:pPr>
          </w:p>
        </w:tc>
        <w:tc>
          <w:tcPr>
            <w:tcW w:w="2524" w:type="dxa"/>
            <w:tcBorders>
              <w:top w:val="single" w:sz="2" w:space="0" w:color="DDDDDD"/>
              <w:left w:val="single" w:sz="2" w:space="0" w:color="DDDDDD"/>
              <w:bottom w:val="single" w:sz="2" w:space="0" w:color="DDDDDD"/>
              <w:right w:val="single" w:sz="2" w:space="0" w:color="DDDDDD"/>
            </w:tcBorders>
            <w:vAlign w:val="center"/>
          </w:tcPr>
          <w:p w:rsidR="00F92B38" w:rsidRDefault="00F92B38">
            <w:pPr>
              <w:pStyle w:val="TableContents"/>
              <w:rPr>
                <w:rFonts w:hint="eastAsia"/>
                <w:color w:val="000000"/>
              </w:rPr>
            </w:pPr>
          </w:p>
        </w:tc>
        <w:tc>
          <w:tcPr>
            <w:tcW w:w="3239" w:type="dxa"/>
            <w:tcBorders>
              <w:top w:val="single" w:sz="2" w:space="0" w:color="DDDDDD"/>
              <w:left w:val="single" w:sz="2" w:space="0" w:color="DDDDDD"/>
              <w:bottom w:val="single" w:sz="2" w:space="0" w:color="DDDDDD"/>
              <w:right w:val="single" w:sz="2" w:space="0" w:color="DDDDDD"/>
            </w:tcBorders>
            <w:vAlign w:val="center"/>
          </w:tcPr>
          <w:p w:rsidR="00F92B38" w:rsidRPr="00785F63" w:rsidRDefault="00F92B38">
            <w:pPr>
              <w:pStyle w:val="TableContents"/>
              <w:rPr>
                <w:rFonts w:hint="eastAsia"/>
                <w:color w:val="000000"/>
              </w:rPr>
            </w:pPr>
          </w:p>
        </w:tc>
      </w:tr>
      <w:tr w:rsidR="00F92B38" w:rsidTr="00B25C6B">
        <w:tc>
          <w:tcPr>
            <w:tcW w:w="1856"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Peso Máximo Admisible</w:t>
            </w:r>
          </w:p>
        </w:tc>
        <w:tc>
          <w:tcPr>
            <w:tcW w:w="2353"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 xml:space="preserve">No exceder 11.000 </w:t>
            </w:r>
            <w:proofErr w:type="spellStart"/>
            <w:r>
              <w:rPr>
                <w:color w:val="000000"/>
              </w:rPr>
              <w:t>kgf</w:t>
            </w:r>
            <w:proofErr w:type="spellEnd"/>
            <w:r>
              <w:rPr>
                <w:color w:val="000000"/>
              </w:rPr>
              <w:t xml:space="preserve"> (4.1.9). Pag 94</w:t>
            </w:r>
          </w:p>
        </w:tc>
        <w:tc>
          <w:tcPr>
            <w:tcW w:w="2524"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 xml:space="preserve">Peso orden de marcha: 8.500 </w:t>
            </w:r>
            <w:proofErr w:type="spellStart"/>
            <w:r>
              <w:rPr>
                <w:color w:val="000000"/>
              </w:rPr>
              <w:t>kgf</w:t>
            </w:r>
            <w:proofErr w:type="spellEnd"/>
            <w:r>
              <w:rPr>
                <w:color w:val="000000"/>
              </w:rPr>
              <w:t xml:space="preserve"> . Pag 1.</w:t>
            </w:r>
          </w:p>
          <w:p w:rsidR="00F92B38" w:rsidRDefault="00000000">
            <w:pPr>
              <w:pStyle w:val="TableContents"/>
              <w:rPr>
                <w:rFonts w:hint="eastAsia"/>
                <w:color w:val="000000"/>
              </w:rPr>
            </w:pPr>
            <w:r>
              <w:rPr>
                <w:color w:val="000000"/>
              </w:rPr>
              <w:t xml:space="preserve">Peso </w:t>
            </w:r>
            <w:proofErr w:type="spellStart"/>
            <w:r>
              <w:rPr>
                <w:color w:val="000000"/>
              </w:rPr>
              <w:t>Ordem</w:t>
            </w:r>
            <w:proofErr w:type="spellEnd"/>
            <w:r>
              <w:rPr>
                <w:color w:val="000000"/>
              </w:rPr>
              <w:t xml:space="preserve"> de marcha 8500Kgf + Pasajeros (50 </w:t>
            </w:r>
            <w:proofErr w:type="spellStart"/>
            <w:r>
              <w:rPr>
                <w:color w:val="000000"/>
              </w:rPr>
              <w:t>pasej</w:t>
            </w:r>
            <w:proofErr w:type="spellEnd"/>
            <w:r>
              <w:rPr>
                <w:color w:val="000000"/>
              </w:rPr>
              <w:t xml:space="preserve">*68 </w:t>
            </w:r>
            <w:proofErr w:type="spellStart"/>
            <w:r>
              <w:rPr>
                <w:color w:val="000000"/>
              </w:rPr>
              <w:t>Kgf</w:t>
            </w:r>
            <w:proofErr w:type="spellEnd"/>
            <w:r>
              <w:rPr>
                <w:color w:val="000000"/>
              </w:rPr>
              <w:t>/</w:t>
            </w:r>
            <w:proofErr w:type="spellStart"/>
            <w:r>
              <w:rPr>
                <w:color w:val="000000"/>
              </w:rPr>
              <w:t>pasaj</w:t>
            </w:r>
            <w:proofErr w:type="spellEnd"/>
            <w:r>
              <w:rPr>
                <w:color w:val="000000"/>
              </w:rPr>
              <w:t xml:space="preserve"> = 3400 </w:t>
            </w:r>
            <w:proofErr w:type="spellStart"/>
            <w:r>
              <w:rPr>
                <w:color w:val="000000"/>
              </w:rPr>
              <w:t>Kgf</w:t>
            </w:r>
            <w:proofErr w:type="spellEnd"/>
            <w:r>
              <w:rPr>
                <w:color w:val="000000"/>
              </w:rPr>
              <w:t>)</w:t>
            </w:r>
          </w:p>
          <w:p w:rsidR="00F92B38" w:rsidRDefault="00000000">
            <w:pPr>
              <w:pStyle w:val="TableContents"/>
              <w:rPr>
                <w:rFonts w:hint="eastAsia"/>
                <w:color w:val="000000"/>
              </w:rPr>
            </w:pPr>
            <w:r>
              <w:rPr>
                <w:color w:val="000000"/>
              </w:rPr>
              <w:t xml:space="preserve">Peso total = 11.900 </w:t>
            </w:r>
            <w:proofErr w:type="spellStart"/>
            <w:r>
              <w:rPr>
                <w:color w:val="000000"/>
              </w:rPr>
              <w:t>Kgf</w:t>
            </w:r>
            <w:proofErr w:type="spellEnd"/>
          </w:p>
        </w:tc>
        <w:tc>
          <w:tcPr>
            <w:tcW w:w="3239" w:type="dxa"/>
            <w:tcBorders>
              <w:top w:val="single" w:sz="2" w:space="0" w:color="DDDDDD"/>
              <w:left w:val="single" w:sz="2" w:space="0" w:color="DDDDDD"/>
              <w:bottom w:val="single" w:sz="2" w:space="0" w:color="DDDDDD"/>
              <w:right w:val="single" w:sz="2" w:space="0" w:color="DDDDDD"/>
            </w:tcBorders>
            <w:vAlign w:val="center"/>
          </w:tcPr>
          <w:p w:rsidR="00F92B38" w:rsidRPr="00785F63" w:rsidRDefault="00000000">
            <w:pPr>
              <w:pStyle w:val="TableContents"/>
              <w:rPr>
                <w:rFonts w:hint="eastAsia"/>
                <w:color w:val="000000"/>
              </w:rPr>
            </w:pPr>
            <w:r w:rsidRPr="00785F63">
              <w:rPr>
                <w:color w:val="000000"/>
              </w:rPr>
              <w:t>**NO CONFORME**. Excede significativamente el límite de peso establecido (11.900 kg &gt; 11.000 kg).</w:t>
            </w:r>
          </w:p>
        </w:tc>
      </w:tr>
      <w:tr w:rsidR="00F92B38" w:rsidTr="00B25C6B">
        <w:tc>
          <w:tcPr>
            <w:tcW w:w="1856"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Carga por Eje</w:t>
            </w:r>
          </w:p>
        </w:tc>
        <w:tc>
          <w:tcPr>
            <w:tcW w:w="2353"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Primer Eje sencillo (llanta sencilla): 2.200 kg. Segundo Eje sencillo (llanta doble): 8.800 kg (4.1.10).  Pag 94</w:t>
            </w:r>
          </w:p>
        </w:tc>
        <w:tc>
          <w:tcPr>
            <w:tcW w:w="2524"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Carga por eje: 5.000 kg (eje delantero) / 9.200 kg (eje trasero). Pag 1</w:t>
            </w:r>
          </w:p>
        </w:tc>
        <w:tc>
          <w:tcPr>
            <w:tcW w:w="3239" w:type="dxa"/>
            <w:tcBorders>
              <w:top w:val="single" w:sz="2" w:space="0" w:color="DDDDDD"/>
              <w:left w:val="single" w:sz="2" w:space="0" w:color="DDDDDD"/>
              <w:bottom w:val="single" w:sz="2" w:space="0" w:color="DDDDDD"/>
              <w:right w:val="single" w:sz="2" w:space="0" w:color="DDDDDD"/>
            </w:tcBorders>
            <w:vAlign w:val="center"/>
          </w:tcPr>
          <w:p w:rsidR="00F92B38" w:rsidRPr="00785F63" w:rsidRDefault="00000000">
            <w:pPr>
              <w:pStyle w:val="TableContents"/>
              <w:rPr>
                <w:rFonts w:hint="eastAsia"/>
                <w:color w:val="000000"/>
              </w:rPr>
            </w:pPr>
            <w:r w:rsidRPr="00785F63">
              <w:rPr>
                <w:color w:val="000000"/>
              </w:rPr>
              <w:t>**NO CONFORME**. Ambas cargas por eje exceden los límites (5.000 kg &gt; 2.200 kg; 9.200 kg &gt; 8.800 kg).</w:t>
            </w:r>
          </w:p>
        </w:tc>
      </w:tr>
      <w:tr w:rsidR="00F92B38" w:rsidTr="00B25C6B">
        <w:tc>
          <w:tcPr>
            <w:tcW w:w="1856"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Radio de Curva</w:t>
            </w:r>
          </w:p>
        </w:tc>
        <w:tc>
          <w:tcPr>
            <w:tcW w:w="2353"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Interior: 5,3 m. Exterior: 12,5 m (4.1.11). Pag 94</w:t>
            </w:r>
          </w:p>
        </w:tc>
        <w:tc>
          <w:tcPr>
            <w:tcW w:w="2524"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No especificado.</w:t>
            </w:r>
          </w:p>
        </w:tc>
        <w:tc>
          <w:tcPr>
            <w:tcW w:w="3239"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**NO CONFORME**. Información esencial para la maniobrabilidad y compatibilidad con el trazado de las vías.</w:t>
            </w:r>
          </w:p>
        </w:tc>
      </w:tr>
      <w:tr w:rsidR="00F92B38" w:rsidTr="00B25C6B">
        <w:tc>
          <w:tcPr>
            <w:tcW w:w="1856"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Dimensiones Máximas (L x A x H)</w:t>
            </w:r>
          </w:p>
        </w:tc>
        <w:tc>
          <w:tcPr>
            <w:tcW w:w="2353"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 xml:space="preserve">Largo: 8,0 m - 9,5 m. Ancho: 2,6 m máx. Altura: 3,85 m máx. </w:t>
            </w:r>
            <w:r>
              <w:rPr>
                <w:color w:val="000000"/>
              </w:rPr>
              <w:lastRenderedPageBreak/>
              <w:t>(4.1.12). Pag 94</w:t>
            </w:r>
          </w:p>
        </w:tc>
        <w:tc>
          <w:tcPr>
            <w:tcW w:w="2524"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lastRenderedPageBreak/>
              <w:t xml:space="preserve">Largo x Ancho x Alto: 8540 mm × 2500 mm × 3350 mm (sin </w:t>
            </w:r>
            <w:r>
              <w:rPr>
                <w:color w:val="000000"/>
              </w:rPr>
              <w:lastRenderedPageBreak/>
              <w:t>elementos decorativos de techo), 3460 mm (con elementos decorativos de techo opcionales). Pag 1</w:t>
            </w:r>
          </w:p>
        </w:tc>
        <w:tc>
          <w:tcPr>
            <w:tcW w:w="3239"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lastRenderedPageBreak/>
              <w:t xml:space="preserve">**CONFORME**. Las dimensiones de la oferta están dentro de los límites de la </w:t>
            </w:r>
            <w:r>
              <w:rPr>
                <w:color w:val="000000"/>
              </w:rPr>
              <w:lastRenderedPageBreak/>
              <w:t>licitación.</w:t>
            </w:r>
          </w:p>
        </w:tc>
      </w:tr>
      <w:tr w:rsidR="00F92B38" w:rsidTr="00B25C6B">
        <w:tc>
          <w:tcPr>
            <w:tcW w:w="1856"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**2. Chasis (Anexo 3, 4.2.1)**</w:t>
            </w:r>
          </w:p>
        </w:tc>
        <w:tc>
          <w:tcPr>
            <w:tcW w:w="2353" w:type="dxa"/>
            <w:tcBorders>
              <w:top w:val="single" w:sz="2" w:space="0" w:color="DDDDDD"/>
              <w:left w:val="single" w:sz="2" w:space="0" w:color="DDDDDD"/>
              <w:bottom w:val="single" w:sz="2" w:space="0" w:color="DDDDDD"/>
              <w:right w:val="single" w:sz="2" w:space="0" w:color="DDDDDD"/>
            </w:tcBorders>
            <w:vAlign w:val="center"/>
          </w:tcPr>
          <w:p w:rsidR="00F92B38" w:rsidRDefault="00F92B38">
            <w:pPr>
              <w:pStyle w:val="TableContents"/>
              <w:rPr>
                <w:rFonts w:hint="eastAsia"/>
                <w:sz w:val="4"/>
                <w:szCs w:val="4"/>
              </w:rPr>
            </w:pPr>
          </w:p>
        </w:tc>
        <w:tc>
          <w:tcPr>
            <w:tcW w:w="2524" w:type="dxa"/>
            <w:tcBorders>
              <w:top w:val="single" w:sz="2" w:space="0" w:color="DDDDDD"/>
              <w:left w:val="single" w:sz="2" w:space="0" w:color="DDDDDD"/>
              <w:bottom w:val="single" w:sz="2" w:space="0" w:color="DDDDDD"/>
              <w:right w:val="single" w:sz="2" w:space="0" w:color="DDDDDD"/>
            </w:tcBorders>
            <w:vAlign w:val="center"/>
          </w:tcPr>
          <w:p w:rsidR="00F92B38" w:rsidRDefault="00F92B38">
            <w:pPr>
              <w:pStyle w:val="TableContents"/>
              <w:rPr>
                <w:rFonts w:hint="eastAsia"/>
                <w:sz w:val="4"/>
                <w:szCs w:val="4"/>
              </w:rPr>
            </w:pPr>
          </w:p>
        </w:tc>
        <w:tc>
          <w:tcPr>
            <w:tcW w:w="3239" w:type="dxa"/>
            <w:tcBorders>
              <w:top w:val="single" w:sz="2" w:space="0" w:color="DDDDDD"/>
              <w:left w:val="single" w:sz="2" w:space="0" w:color="DDDDDD"/>
              <w:bottom w:val="single" w:sz="2" w:space="0" w:color="DDDDDD"/>
              <w:right w:val="single" w:sz="2" w:space="0" w:color="DDDDDD"/>
            </w:tcBorders>
            <w:vAlign w:val="center"/>
          </w:tcPr>
          <w:p w:rsidR="00F92B38" w:rsidRDefault="00F92B38">
            <w:pPr>
              <w:pStyle w:val="TableContents"/>
              <w:rPr>
                <w:rFonts w:hint="eastAsia"/>
                <w:sz w:val="4"/>
                <w:szCs w:val="4"/>
              </w:rPr>
            </w:pPr>
          </w:p>
        </w:tc>
      </w:tr>
      <w:tr w:rsidR="00F92B38" w:rsidTr="00B25C6B">
        <w:tc>
          <w:tcPr>
            <w:tcW w:w="1856"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Motor (Rendimiento)</w:t>
            </w:r>
          </w:p>
        </w:tc>
        <w:tc>
          <w:tcPr>
            <w:tcW w:w="2353"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Potencia para rendimiento operacional y A/C. 0-40 KPH en ≤ 22,5s (terreno plano). Pag 95</w:t>
            </w:r>
          </w:p>
        </w:tc>
        <w:tc>
          <w:tcPr>
            <w:tcW w:w="2524"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 xml:space="preserve">Velocidad máxima: 69 km/h. Motor y VCU Dandong </w:t>
            </w:r>
            <w:proofErr w:type="spellStart"/>
            <w:r>
              <w:rPr>
                <w:color w:val="000000"/>
              </w:rPr>
              <w:t>Huanghai</w:t>
            </w:r>
            <w:proofErr w:type="spellEnd"/>
            <w:r>
              <w:rPr>
                <w:color w:val="000000"/>
              </w:rPr>
              <w:t xml:space="preserve">. No especifica tiempo de aceleración o potencia para A/C. </w:t>
            </w:r>
          </w:p>
          <w:p w:rsidR="00F92B38" w:rsidRDefault="00000000">
            <w:pPr>
              <w:pStyle w:val="TableContents"/>
              <w:rPr>
                <w:rFonts w:hint="eastAsia"/>
                <w:color w:val="000000"/>
              </w:rPr>
            </w:pPr>
            <w:r>
              <w:rPr>
                <w:color w:val="000000"/>
              </w:rPr>
              <w:t xml:space="preserve">Pag 1 </w:t>
            </w:r>
          </w:p>
        </w:tc>
        <w:tc>
          <w:tcPr>
            <w:tcW w:w="3239"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**NO CONFORME**. El tiempo de aceleración 0-40 KPH y la potencia para el sistema de A/C no están detallados. La velocidad máxima excede la requerida (69 km/h &gt; 60 km/h).</w:t>
            </w:r>
          </w:p>
        </w:tc>
      </w:tr>
      <w:tr w:rsidR="00F92B38" w:rsidTr="00B25C6B">
        <w:tc>
          <w:tcPr>
            <w:tcW w:w="1856"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Dirección</w:t>
            </w:r>
          </w:p>
        </w:tc>
        <w:tc>
          <w:tcPr>
            <w:tcW w:w="2353"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Asistida (hidráulica y/o electrónica). Pag 95</w:t>
            </w:r>
          </w:p>
        </w:tc>
        <w:tc>
          <w:tcPr>
            <w:tcW w:w="2524"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proofErr w:type="spellStart"/>
            <w:r>
              <w:rPr>
                <w:color w:val="000000"/>
              </w:rPr>
              <w:t>Direccíon</w:t>
            </w:r>
            <w:proofErr w:type="spellEnd"/>
            <w:r>
              <w:rPr>
                <w:color w:val="000000"/>
              </w:rPr>
              <w:t>: Marca china (</w:t>
            </w:r>
            <w:r>
              <w:rPr>
                <w:color w:val="000000"/>
              </w:rPr>
              <w:t>国产</w:t>
            </w:r>
            <w:r>
              <w:rPr>
                <w:color w:val="000000"/>
              </w:rPr>
              <w:t xml:space="preserve">).  Pag 2 </w:t>
            </w:r>
            <w:proofErr w:type="spellStart"/>
            <w:r>
              <w:rPr>
                <w:color w:val="000000"/>
              </w:rPr>
              <w:t>num</w:t>
            </w:r>
            <w:proofErr w:type="spellEnd"/>
            <w:r>
              <w:rPr>
                <w:color w:val="000000"/>
              </w:rPr>
              <w:t xml:space="preserve"> 2</w:t>
            </w:r>
          </w:p>
        </w:tc>
        <w:tc>
          <w:tcPr>
            <w:tcW w:w="3239"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**NO CONFORME**. No especifica si la dirección es asistida.</w:t>
            </w:r>
          </w:p>
        </w:tc>
      </w:tr>
      <w:tr w:rsidR="00F92B38" w:rsidTr="00B25C6B">
        <w:tc>
          <w:tcPr>
            <w:tcW w:w="1856" w:type="dxa"/>
            <w:tcBorders>
              <w:top w:val="single" w:sz="2" w:space="0" w:color="DDDDDD"/>
              <w:left w:val="single" w:sz="2" w:space="0" w:color="DDDDDD"/>
              <w:bottom w:val="single" w:sz="2" w:space="0" w:color="DDDDDD"/>
              <w:right w:val="single" w:sz="2" w:space="0" w:color="DDDDDD"/>
            </w:tcBorders>
            <w:vAlign w:val="center"/>
          </w:tcPr>
          <w:p w:rsidR="00F92B38" w:rsidRDefault="00F92B38">
            <w:pPr>
              <w:pStyle w:val="TableContents"/>
              <w:rPr>
                <w:rFonts w:hint="eastAsia"/>
                <w:color w:val="000000"/>
              </w:rPr>
            </w:pPr>
          </w:p>
        </w:tc>
        <w:tc>
          <w:tcPr>
            <w:tcW w:w="2353" w:type="dxa"/>
            <w:tcBorders>
              <w:top w:val="single" w:sz="2" w:space="0" w:color="DDDDDD"/>
              <w:left w:val="single" w:sz="2" w:space="0" w:color="DDDDDD"/>
              <w:bottom w:val="single" w:sz="2" w:space="0" w:color="DDDDDD"/>
              <w:right w:val="single" w:sz="2" w:space="0" w:color="DDDDDD"/>
            </w:tcBorders>
            <w:vAlign w:val="center"/>
          </w:tcPr>
          <w:p w:rsidR="00F92B38" w:rsidRDefault="00F92B38">
            <w:pPr>
              <w:pStyle w:val="TableContents"/>
              <w:rPr>
                <w:rFonts w:hint="eastAsia"/>
                <w:color w:val="000000"/>
              </w:rPr>
            </w:pPr>
          </w:p>
        </w:tc>
        <w:tc>
          <w:tcPr>
            <w:tcW w:w="2524" w:type="dxa"/>
            <w:tcBorders>
              <w:top w:val="single" w:sz="2" w:space="0" w:color="DDDDDD"/>
              <w:left w:val="single" w:sz="2" w:space="0" w:color="DDDDDD"/>
              <w:bottom w:val="single" w:sz="2" w:space="0" w:color="DDDDDD"/>
              <w:right w:val="single" w:sz="2" w:space="0" w:color="DDDDDD"/>
            </w:tcBorders>
            <w:vAlign w:val="center"/>
          </w:tcPr>
          <w:p w:rsidR="00F92B38" w:rsidRDefault="00F92B38">
            <w:pPr>
              <w:pStyle w:val="TableContents"/>
              <w:rPr>
                <w:rFonts w:hint="eastAsia"/>
                <w:color w:val="000000"/>
              </w:rPr>
            </w:pPr>
          </w:p>
        </w:tc>
        <w:tc>
          <w:tcPr>
            <w:tcW w:w="3239" w:type="dxa"/>
            <w:tcBorders>
              <w:top w:val="single" w:sz="2" w:space="0" w:color="DDDDDD"/>
              <w:left w:val="single" w:sz="2" w:space="0" w:color="DDDDDD"/>
              <w:bottom w:val="single" w:sz="2" w:space="0" w:color="DDDDDD"/>
              <w:right w:val="single" w:sz="2" w:space="0" w:color="DDDDDD"/>
            </w:tcBorders>
            <w:vAlign w:val="center"/>
          </w:tcPr>
          <w:p w:rsidR="00F92B38" w:rsidRDefault="00F92B38">
            <w:pPr>
              <w:pStyle w:val="TableContents"/>
              <w:rPr>
                <w:rFonts w:hint="eastAsia"/>
                <w:color w:val="000000"/>
              </w:rPr>
            </w:pPr>
          </w:p>
        </w:tc>
      </w:tr>
      <w:tr w:rsidR="00F92B38" w:rsidTr="00B25C6B">
        <w:tc>
          <w:tcPr>
            <w:tcW w:w="1856"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Frenos</w:t>
            </w:r>
          </w:p>
        </w:tc>
        <w:tc>
          <w:tcPr>
            <w:tcW w:w="2353"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ABS, dos circuitos independientes, distancia de frenado máxima 10,7m (a 32 KPH), indicación de fallo. Pag 95</w:t>
            </w:r>
          </w:p>
        </w:tc>
        <w:tc>
          <w:tcPr>
            <w:tcW w:w="2524"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Sistema de frenado: Disco. Sistema de frenado electrónico: EBS, con sistema antideslizante ASR.</w:t>
            </w:r>
          </w:p>
          <w:p w:rsidR="00F92B38" w:rsidRDefault="00000000">
            <w:pPr>
              <w:pStyle w:val="TableContents"/>
              <w:rPr>
                <w:rFonts w:hint="eastAsia"/>
                <w:color w:val="000000"/>
              </w:rPr>
            </w:pPr>
            <w:r>
              <w:rPr>
                <w:color w:val="000000"/>
              </w:rPr>
              <w:t>Pag 2</w:t>
            </w:r>
          </w:p>
        </w:tc>
        <w:tc>
          <w:tcPr>
            <w:tcW w:w="3239"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 xml:space="preserve">**PARCIALMENTE CONFORME**. EBS (Electronic </w:t>
            </w:r>
            <w:proofErr w:type="spellStart"/>
            <w:r>
              <w:rPr>
                <w:color w:val="000000"/>
              </w:rPr>
              <w:t>Braking</w:t>
            </w:r>
            <w:proofErr w:type="spellEnd"/>
            <w:r>
              <w:rPr>
                <w:color w:val="000000"/>
              </w:rPr>
              <w:t xml:space="preserve"> </w:t>
            </w:r>
            <w:proofErr w:type="spellStart"/>
            <w:r>
              <w:rPr>
                <w:color w:val="000000"/>
              </w:rPr>
              <w:t>System</w:t>
            </w:r>
            <w:proofErr w:type="spellEnd"/>
            <w:r>
              <w:rPr>
                <w:color w:val="000000"/>
              </w:rPr>
              <w:t>) generalmente incluye ABS y ASR, lo que es positivo. Sin embargo, no hay mención a los "dos circuitos independientes", a la distancia de frenado de 10,7m, ni al sistema de indicación de fallo.</w:t>
            </w:r>
          </w:p>
        </w:tc>
      </w:tr>
      <w:tr w:rsidR="00F92B38" w:rsidTr="00B25C6B">
        <w:tc>
          <w:tcPr>
            <w:tcW w:w="1856"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Paneles de Monitoreo</w:t>
            </w:r>
          </w:p>
        </w:tc>
        <w:tc>
          <w:tcPr>
            <w:tcW w:w="2353"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 xml:space="preserve">Indicadores detallados (velocidad, RPM, combustible, aceite, temperatura, batería, luces, presión de freno, odómetro, </w:t>
            </w:r>
            <w:r>
              <w:rPr>
                <w:color w:val="000000"/>
              </w:rPr>
              <w:lastRenderedPageBreak/>
              <w:t>etc.). Velocidad máxima limitada a 60 Km/h (4.2.1.9.d). Pag 99</w:t>
            </w:r>
          </w:p>
        </w:tc>
        <w:tc>
          <w:tcPr>
            <w:tcW w:w="2524"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lastRenderedPageBreak/>
              <w:t>Instrumentos: Instrumentación combinada CAN. Velocidad máxima: 69 km/h.</w:t>
            </w:r>
          </w:p>
          <w:p w:rsidR="00F92B38" w:rsidRDefault="00000000">
            <w:pPr>
              <w:pStyle w:val="TableContents"/>
              <w:rPr>
                <w:rFonts w:hint="eastAsia"/>
                <w:color w:val="000000"/>
              </w:rPr>
            </w:pPr>
            <w:r>
              <w:rPr>
                <w:color w:val="000000"/>
              </w:rPr>
              <w:t>Pag 1</w:t>
            </w:r>
          </w:p>
        </w:tc>
        <w:tc>
          <w:tcPr>
            <w:tcW w:w="3239"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 xml:space="preserve">**NO CONFORME**. La velocidad máxima de la oferta (69 km/h) excede el límite de 60 km/h, y no hay confirmación de un limitador. La conformidad con todos los </w:t>
            </w:r>
            <w:r>
              <w:rPr>
                <w:color w:val="000000"/>
              </w:rPr>
              <w:lastRenderedPageBreak/>
              <w:t>indicadores específicos no está detallada.</w:t>
            </w:r>
          </w:p>
        </w:tc>
      </w:tr>
      <w:tr w:rsidR="00F92B38" w:rsidTr="00B25C6B">
        <w:tc>
          <w:tcPr>
            <w:tcW w:w="1856" w:type="dxa"/>
            <w:tcBorders>
              <w:top w:val="single" w:sz="2" w:space="0" w:color="DDDDDD"/>
              <w:left w:val="single" w:sz="2" w:space="0" w:color="DDDDDD"/>
              <w:bottom w:val="single" w:sz="2" w:space="0" w:color="DDDDDD"/>
              <w:right w:val="single" w:sz="2" w:space="0" w:color="DDDDDD"/>
            </w:tcBorders>
            <w:vAlign w:val="center"/>
          </w:tcPr>
          <w:p w:rsidR="00F92B38" w:rsidRDefault="00F92B38">
            <w:pPr>
              <w:pStyle w:val="TableContents"/>
              <w:rPr>
                <w:rFonts w:hint="eastAsia"/>
                <w:color w:val="000000"/>
              </w:rPr>
            </w:pPr>
          </w:p>
        </w:tc>
        <w:tc>
          <w:tcPr>
            <w:tcW w:w="2353" w:type="dxa"/>
            <w:tcBorders>
              <w:top w:val="single" w:sz="2" w:space="0" w:color="DDDDDD"/>
              <w:left w:val="single" w:sz="2" w:space="0" w:color="DDDDDD"/>
              <w:bottom w:val="single" w:sz="2" w:space="0" w:color="DDDDDD"/>
              <w:right w:val="single" w:sz="2" w:space="0" w:color="DDDDDD"/>
            </w:tcBorders>
            <w:vAlign w:val="center"/>
          </w:tcPr>
          <w:p w:rsidR="00F92B38" w:rsidRDefault="00F92B38">
            <w:pPr>
              <w:pStyle w:val="TableContents"/>
              <w:rPr>
                <w:rFonts w:hint="eastAsia"/>
                <w:color w:val="000000"/>
              </w:rPr>
            </w:pPr>
          </w:p>
        </w:tc>
        <w:tc>
          <w:tcPr>
            <w:tcW w:w="2524" w:type="dxa"/>
            <w:tcBorders>
              <w:top w:val="single" w:sz="2" w:space="0" w:color="DDDDDD"/>
              <w:left w:val="single" w:sz="2" w:space="0" w:color="DDDDDD"/>
              <w:bottom w:val="single" w:sz="2" w:space="0" w:color="DDDDDD"/>
              <w:right w:val="single" w:sz="2" w:space="0" w:color="DDDDDD"/>
            </w:tcBorders>
            <w:vAlign w:val="center"/>
          </w:tcPr>
          <w:p w:rsidR="00F92B38" w:rsidRDefault="00F92B38">
            <w:pPr>
              <w:pStyle w:val="TableContents"/>
              <w:rPr>
                <w:rFonts w:hint="eastAsia"/>
                <w:color w:val="000000"/>
              </w:rPr>
            </w:pPr>
          </w:p>
        </w:tc>
        <w:tc>
          <w:tcPr>
            <w:tcW w:w="3239" w:type="dxa"/>
            <w:tcBorders>
              <w:top w:val="single" w:sz="2" w:space="0" w:color="DDDDDD"/>
              <w:left w:val="single" w:sz="2" w:space="0" w:color="DDDDDD"/>
              <w:bottom w:val="single" w:sz="2" w:space="0" w:color="DDDDDD"/>
              <w:right w:val="single" w:sz="2" w:space="0" w:color="DDDDDD"/>
            </w:tcBorders>
            <w:vAlign w:val="center"/>
          </w:tcPr>
          <w:p w:rsidR="00F92B38" w:rsidRDefault="00F92B38">
            <w:pPr>
              <w:pStyle w:val="TableContents"/>
              <w:rPr>
                <w:rFonts w:hint="eastAsia"/>
                <w:color w:val="000000"/>
              </w:rPr>
            </w:pPr>
          </w:p>
        </w:tc>
      </w:tr>
      <w:tr w:rsidR="00F92B38" w:rsidTr="00B25C6B">
        <w:tc>
          <w:tcPr>
            <w:tcW w:w="1856"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Baterías (Chasis)</w:t>
            </w:r>
          </w:p>
        </w:tc>
        <w:tc>
          <w:tcPr>
            <w:tcW w:w="2353"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Compartimento dedicado fuera del compartimento de pasajeros, corte de energía al alcance del conductor, fijadas, accesibles, ventiladas (4.2.1.11). Pag 100</w:t>
            </w:r>
          </w:p>
        </w:tc>
        <w:tc>
          <w:tcPr>
            <w:tcW w:w="2524"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No especificado en la FT.</w:t>
            </w:r>
          </w:p>
        </w:tc>
        <w:tc>
          <w:tcPr>
            <w:tcW w:w="3239"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**NO CONFORME**. Detalles cruciales de seguridad y accesibilidad para las baterías no son proporcionados.</w:t>
            </w:r>
          </w:p>
        </w:tc>
      </w:tr>
      <w:tr w:rsidR="00F92B38" w:rsidTr="00B25C6B">
        <w:tc>
          <w:tcPr>
            <w:tcW w:w="1856"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**3. Carrocería (Anexo 3, 4.2.2)**</w:t>
            </w:r>
          </w:p>
        </w:tc>
        <w:tc>
          <w:tcPr>
            <w:tcW w:w="2353" w:type="dxa"/>
            <w:tcBorders>
              <w:top w:val="single" w:sz="2" w:space="0" w:color="DDDDDD"/>
              <w:left w:val="single" w:sz="2" w:space="0" w:color="DDDDDD"/>
              <w:bottom w:val="single" w:sz="2" w:space="0" w:color="DDDDDD"/>
              <w:right w:val="single" w:sz="2" w:space="0" w:color="DDDDDD"/>
            </w:tcBorders>
            <w:vAlign w:val="center"/>
          </w:tcPr>
          <w:p w:rsidR="00F92B38" w:rsidRDefault="00F92B38">
            <w:pPr>
              <w:pStyle w:val="TableContents"/>
              <w:rPr>
                <w:rFonts w:hint="eastAsia"/>
                <w:sz w:val="4"/>
                <w:szCs w:val="4"/>
              </w:rPr>
            </w:pPr>
          </w:p>
        </w:tc>
        <w:tc>
          <w:tcPr>
            <w:tcW w:w="2524" w:type="dxa"/>
            <w:tcBorders>
              <w:top w:val="single" w:sz="2" w:space="0" w:color="DDDDDD"/>
              <w:left w:val="single" w:sz="2" w:space="0" w:color="DDDDDD"/>
              <w:bottom w:val="single" w:sz="2" w:space="0" w:color="DDDDDD"/>
              <w:right w:val="single" w:sz="2" w:space="0" w:color="DDDDDD"/>
            </w:tcBorders>
            <w:vAlign w:val="center"/>
          </w:tcPr>
          <w:p w:rsidR="00F92B38" w:rsidRDefault="00F92B38">
            <w:pPr>
              <w:pStyle w:val="TableContents"/>
              <w:rPr>
                <w:rFonts w:hint="eastAsia"/>
                <w:sz w:val="4"/>
                <w:szCs w:val="4"/>
              </w:rPr>
            </w:pPr>
          </w:p>
        </w:tc>
        <w:tc>
          <w:tcPr>
            <w:tcW w:w="3239" w:type="dxa"/>
            <w:tcBorders>
              <w:top w:val="single" w:sz="2" w:space="0" w:color="DDDDDD"/>
              <w:left w:val="single" w:sz="2" w:space="0" w:color="DDDDDD"/>
              <w:bottom w:val="single" w:sz="2" w:space="0" w:color="DDDDDD"/>
              <w:right w:val="single" w:sz="2" w:space="0" w:color="DDDDDD"/>
            </w:tcBorders>
            <w:vAlign w:val="center"/>
          </w:tcPr>
          <w:p w:rsidR="00F92B38" w:rsidRDefault="00F92B38">
            <w:pPr>
              <w:pStyle w:val="TableContents"/>
              <w:rPr>
                <w:rFonts w:hint="eastAsia"/>
                <w:sz w:val="4"/>
                <w:szCs w:val="4"/>
              </w:rPr>
            </w:pPr>
          </w:p>
        </w:tc>
      </w:tr>
      <w:tr w:rsidR="00F92B38" w:rsidTr="00B25C6B">
        <w:tc>
          <w:tcPr>
            <w:tcW w:w="1856"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Estructura de la Carrocería</w:t>
            </w:r>
          </w:p>
        </w:tc>
        <w:tc>
          <w:tcPr>
            <w:tcW w:w="2353"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Conformidad con la Regulación No 66 / NTC 5206-1 (4.2.2.1.c). Pag 101</w:t>
            </w:r>
          </w:p>
        </w:tc>
        <w:tc>
          <w:tcPr>
            <w:tcW w:w="2524"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Estructura del chasis: Monocasco. Proceso de carrocería: Electroforesis catódica del vehículo completo.</w:t>
            </w:r>
          </w:p>
          <w:p w:rsidR="00F92B38" w:rsidRDefault="00000000">
            <w:pPr>
              <w:pStyle w:val="TableContents"/>
              <w:rPr>
                <w:rFonts w:hint="eastAsia"/>
                <w:color w:val="000000"/>
              </w:rPr>
            </w:pPr>
            <w:r>
              <w:rPr>
                <w:color w:val="000000"/>
              </w:rPr>
              <w:t xml:space="preserve">Pag 2 </w:t>
            </w:r>
            <w:proofErr w:type="spellStart"/>
            <w:r>
              <w:rPr>
                <w:color w:val="000000"/>
              </w:rPr>
              <w:t>num</w:t>
            </w:r>
            <w:proofErr w:type="spellEnd"/>
            <w:r>
              <w:rPr>
                <w:color w:val="000000"/>
              </w:rPr>
              <w:t xml:space="preserve"> 3</w:t>
            </w:r>
          </w:p>
        </w:tc>
        <w:tc>
          <w:tcPr>
            <w:tcW w:w="3239"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**NO CONFORME**. Aunque es monocasco (integral), no hay una declaración explícita de conformidad con la norma Regulación No 66 / NTC 5206-1.</w:t>
            </w:r>
          </w:p>
        </w:tc>
      </w:tr>
      <w:tr w:rsidR="00F92B38" w:rsidTr="00B25C6B">
        <w:tc>
          <w:tcPr>
            <w:tcW w:w="1856"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Acabados Interiores (General)</w:t>
            </w:r>
          </w:p>
        </w:tc>
        <w:tc>
          <w:tcPr>
            <w:tcW w:w="2353"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 xml:space="preserve">Lavables, resistentes al desgaste, ignífugos, </w:t>
            </w:r>
            <w:proofErr w:type="spellStart"/>
            <w:r>
              <w:rPr>
                <w:color w:val="000000"/>
              </w:rPr>
              <w:t>autoextinguibles</w:t>
            </w:r>
            <w:proofErr w:type="spellEnd"/>
            <w:r>
              <w:rPr>
                <w:color w:val="000000"/>
              </w:rPr>
              <w:t>, no tóxicos (NTC-3586 / FMVSS 302). Sin salientes o protuberancias. Durabilidad de 1 año. Pag 81</w:t>
            </w:r>
          </w:p>
        </w:tc>
        <w:tc>
          <w:tcPr>
            <w:tcW w:w="2524"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Suelo de PVC. Suelo antideslizante de arena de cuarzo. Panel lateral de PVC. Panel de techo central de aluminio-plástico. No detalla resistencia al fuego, no toxicidad o durabilidad.</w:t>
            </w:r>
          </w:p>
          <w:p w:rsidR="00F92B38" w:rsidRDefault="00000000">
            <w:pPr>
              <w:pStyle w:val="TableContents"/>
              <w:rPr>
                <w:rFonts w:hint="eastAsia"/>
                <w:color w:val="000000"/>
              </w:rPr>
            </w:pPr>
            <w:r>
              <w:rPr>
                <w:color w:val="000000"/>
              </w:rPr>
              <w:t>Pag 3</w:t>
            </w:r>
          </w:p>
        </w:tc>
        <w:tc>
          <w:tcPr>
            <w:tcW w:w="3239"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**PARCIALMENTE CONFORME**. Se mencionan materiales como el PVC, pero no hay confirmación explícita de todas las propiedades de seguridad (ignífugo, no tóxico) o durabilidad.</w:t>
            </w:r>
          </w:p>
        </w:tc>
      </w:tr>
      <w:tr w:rsidR="00F92B38" w:rsidTr="00B25C6B">
        <w:tc>
          <w:tcPr>
            <w:tcW w:w="1856"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Asientos de Pasajeros</w:t>
            </w:r>
          </w:p>
        </w:tc>
        <w:tc>
          <w:tcPr>
            <w:tcW w:w="2353"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 xml:space="preserve">Individuales, fijos, textura antideslizante, </w:t>
            </w:r>
            <w:r>
              <w:rPr>
                <w:color w:val="000000"/>
              </w:rPr>
              <w:lastRenderedPageBreak/>
              <w:t>respaldo cerrado, ergonómicos, soporte lumbar, sin filos o aristas. **"No acolchados"** Pag 110 -  (4.2.2.7.1). Mínimo 14 asientos. Mínimo 4 asientos preferenciales. Barra horizontal en el respaldo. Pag 104</w:t>
            </w:r>
          </w:p>
        </w:tc>
        <w:tc>
          <w:tcPr>
            <w:tcW w:w="2524"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lastRenderedPageBreak/>
              <w:t xml:space="preserve">Asientos de pasajeros: Asientos con cojín </w:t>
            </w:r>
            <w:r>
              <w:rPr>
                <w:color w:val="000000"/>
              </w:rPr>
              <w:lastRenderedPageBreak/>
              <w:t>blando de nylon, con superficie de asiento ensanchada. 18+1 asientos (incluyendo 4 asientos preferenciales).</w:t>
            </w:r>
          </w:p>
          <w:p w:rsidR="00F92B38" w:rsidRDefault="00F92B38">
            <w:pPr>
              <w:pStyle w:val="TableContents"/>
              <w:rPr>
                <w:rFonts w:hint="eastAsia"/>
                <w:color w:val="000000"/>
              </w:rPr>
            </w:pPr>
          </w:p>
          <w:p w:rsidR="00F92B38" w:rsidRDefault="00000000">
            <w:pPr>
              <w:pStyle w:val="TableContents"/>
              <w:rPr>
                <w:rFonts w:hint="eastAsia"/>
                <w:color w:val="000000"/>
              </w:rPr>
            </w:pPr>
            <w:r>
              <w:rPr>
                <w:color w:val="000000"/>
              </w:rPr>
              <w:t>Pag 3</w:t>
            </w:r>
          </w:p>
        </w:tc>
        <w:tc>
          <w:tcPr>
            <w:tcW w:w="3239"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lastRenderedPageBreak/>
              <w:t xml:space="preserve">**NO CONFORME**. La oferta declara "asientos con </w:t>
            </w:r>
            <w:r>
              <w:rPr>
                <w:color w:val="000000"/>
              </w:rPr>
              <w:lastRenderedPageBreak/>
              <w:t xml:space="preserve">cojín blando de nylon" (Nylon </w:t>
            </w:r>
            <w:proofErr w:type="spellStart"/>
            <w:r>
              <w:rPr>
                <w:color w:val="000000"/>
              </w:rPr>
              <w:t>soft-cushion</w:t>
            </w:r>
            <w:proofErr w:type="spellEnd"/>
            <w:r>
              <w:rPr>
                <w:color w:val="000000"/>
              </w:rPr>
              <w:t xml:space="preserve"> </w:t>
            </w:r>
            <w:proofErr w:type="spellStart"/>
            <w:r>
              <w:rPr>
                <w:color w:val="000000"/>
              </w:rPr>
              <w:t>seats</w:t>
            </w:r>
            <w:proofErr w:type="spellEnd"/>
            <w:r>
              <w:rPr>
                <w:color w:val="000000"/>
              </w:rPr>
              <w:t>), lo que **contradice directamente** el requisito de "no acolchados" de la licitación. Faltan detalles sobre resistencia y dimensiones de los asientos.</w:t>
            </w:r>
          </w:p>
        </w:tc>
      </w:tr>
      <w:tr w:rsidR="00F92B38" w:rsidTr="00B25C6B">
        <w:tc>
          <w:tcPr>
            <w:tcW w:w="1856"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Puertas de Servicio</w:t>
            </w:r>
          </w:p>
        </w:tc>
        <w:tc>
          <w:tcPr>
            <w:tcW w:w="2353"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**Dos (2) puertas dobles** de servicio de plataforma baja en el costado (3.2.2.10.k). Ancho libre 1,1m, altura libre 1,9m. Pag 116</w:t>
            </w:r>
          </w:p>
        </w:tc>
        <w:tc>
          <w:tcPr>
            <w:tcW w:w="2524"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 xml:space="preserve">Puerta de pasajeros: Una puerta delantera simple y una puerta trasera doble de aluminio (apertura hacia adentro).  Pag 2 </w:t>
            </w:r>
            <w:proofErr w:type="spellStart"/>
            <w:r>
              <w:rPr>
                <w:color w:val="000000"/>
              </w:rPr>
              <w:t>num</w:t>
            </w:r>
            <w:proofErr w:type="spellEnd"/>
            <w:r>
              <w:rPr>
                <w:color w:val="000000"/>
              </w:rPr>
              <w:t xml:space="preserve"> 4</w:t>
            </w:r>
          </w:p>
        </w:tc>
        <w:tc>
          <w:tcPr>
            <w:tcW w:w="3239"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**NO CONFORME**. La oferta de "una puerta delantera simple y una trasera doble" no cumple con el requisito de "dos puertas dobles".</w:t>
            </w:r>
          </w:p>
        </w:tc>
      </w:tr>
      <w:tr w:rsidR="00F92B38" w:rsidTr="00B25C6B">
        <w:tc>
          <w:tcPr>
            <w:tcW w:w="1856"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Luz de Freno Superior (Tercer Stop)</w:t>
            </w:r>
          </w:p>
        </w:tc>
        <w:tc>
          <w:tcPr>
            <w:tcW w:w="2353"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Debe tener un tercer stop ubicado en la parte central superior de la carrocería (4.2.2.5.1.i). Pag 107</w:t>
            </w:r>
          </w:p>
        </w:tc>
        <w:tc>
          <w:tcPr>
            <w:tcW w:w="2524"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Luces de freno de posición alta: No (</w:t>
            </w:r>
            <w:r>
              <w:rPr>
                <w:color w:val="000000"/>
              </w:rPr>
              <w:t>无</w:t>
            </w:r>
            <w:r>
              <w:rPr>
                <w:color w:val="000000"/>
              </w:rPr>
              <w:t>).</w:t>
            </w:r>
          </w:p>
          <w:p w:rsidR="00F92B38" w:rsidRDefault="00000000">
            <w:pPr>
              <w:pStyle w:val="TableContents"/>
              <w:rPr>
                <w:rFonts w:hint="eastAsia"/>
                <w:color w:val="000000"/>
              </w:rPr>
            </w:pPr>
            <w:r>
              <w:rPr>
                <w:color w:val="000000"/>
              </w:rPr>
              <w:t xml:space="preserve">Pag 4 </w:t>
            </w:r>
            <w:proofErr w:type="spellStart"/>
            <w:r>
              <w:rPr>
                <w:color w:val="000000"/>
              </w:rPr>
              <w:t>num</w:t>
            </w:r>
            <w:proofErr w:type="spellEnd"/>
            <w:r>
              <w:rPr>
                <w:color w:val="000000"/>
              </w:rPr>
              <w:t xml:space="preserve"> 5</w:t>
            </w:r>
          </w:p>
        </w:tc>
        <w:tc>
          <w:tcPr>
            <w:tcW w:w="3239"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**NO CONFORME**. La oferta declara explícitamente la ausencia de este elemento de seguridad obligatorio.</w:t>
            </w:r>
          </w:p>
        </w:tc>
      </w:tr>
      <w:tr w:rsidR="00F92B38" w:rsidTr="00B25C6B">
        <w:tc>
          <w:tcPr>
            <w:tcW w:w="1856" w:type="dxa"/>
            <w:tcBorders>
              <w:top w:val="single" w:sz="2" w:space="0" w:color="DDDDDD"/>
              <w:left w:val="single" w:sz="2" w:space="0" w:color="DDDDDD"/>
              <w:bottom w:val="single" w:sz="2" w:space="0" w:color="DDDDDD"/>
              <w:right w:val="single" w:sz="2" w:space="0" w:color="DDDDDD"/>
            </w:tcBorders>
            <w:vAlign w:val="center"/>
          </w:tcPr>
          <w:p w:rsidR="00F92B38" w:rsidRDefault="00F92B38">
            <w:pPr>
              <w:pStyle w:val="TableContents"/>
              <w:rPr>
                <w:rFonts w:hint="eastAsia"/>
                <w:color w:val="000000"/>
              </w:rPr>
            </w:pPr>
          </w:p>
        </w:tc>
        <w:tc>
          <w:tcPr>
            <w:tcW w:w="2353" w:type="dxa"/>
            <w:tcBorders>
              <w:top w:val="single" w:sz="2" w:space="0" w:color="DDDDDD"/>
              <w:left w:val="single" w:sz="2" w:space="0" w:color="DDDDDD"/>
              <w:bottom w:val="single" w:sz="2" w:space="0" w:color="DDDDDD"/>
              <w:right w:val="single" w:sz="2" w:space="0" w:color="DDDDDD"/>
            </w:tcBorders>
            <w:vAlign w:val="center"/>
          </w:tcPr>
          <w:p w:rsidR="00F92B38" w:rsidRDefault="00F92B38">
            <w:pPr>
              <w:pStyle w:val="TableContents"/>
              <w:rPr>
                <w:rFonts w:hint="eastAsia"/>
                <w:color w:val="000000"/>
              </w:rPr>
            </w:pPr>
          </w:p>
        </w:tc>
        <w:tc>
          <w:tcPr>
            <w:tcW w:w="2524" w:type="dxa"/>
            <w:tcBorders>
              <w:top w:val="single" w:sz="2" w:space="0" w:color="DDDDDD"/>
              <w:left w:val="single" w:sz="2" w:space="0" w:color="DDDDDD"/>
              <w:bottom w:val="single" w:sz="2" w:space="0" w:color="DDDDDD"/>
              <w:right w:val="single" w:sz="2" w:space="0" w:color="DDDDDD"/>
            </w:tcBorders>
            <w:vAlign w:val="center"/>
          </w:tcPr>
          <w:p w:rsidR="00F92B38" w:rsidRDefault="00F92B38">
            <w:pPr>
              <w:pStyle w:val="TableContents"/>
              <w:rPr>
                <w:rFonts w:hint="eastAsia"/>
                <w:color w:val="000000"/>
              </w:rPr>
            </w:pPr>
          </w:p>
        </w:tc>
        <w:tc>
          <w:tcPr>
            <w:tcW w:w="3239" w:type="dxa"/>
            <w:tcBorders>
              <w:top w:val="single" w:sz="2" w:space="0" w:color="DDDDDD"/>
              <w:left w:val="single" w:sz="2" w:space="0" w:color="DDDDDD"/>
              <w:bottom w:val="single" w:sz="2" w:space="0" w:color="DDDDDD"/>
              <w:right w:val="single" w:sz="2" w:space="0" w:color="DDDDDD"/>
            </w:tcBorders>
            <w:vAlign w:val="center"/>
          </w:tcPr>
          <w:p w:rsidR="00F92B38" w:rsidRDefault="00F92B38">
            <w:pPr>
              <w:pStyle w:val="TableContents"/>
              <w:rPr>
                <w:rFonts w:hint="eastAsia"/>
                <w:color w:val="000000"/>
              </w:rPr>
            </w:pPr>
          </w:p>
        </w:tc>
      </w:tr>
      <w:tr w:rsidR="00F92B38" w:rsidTr="00B25C6B">
        <w:tc>
          <w:tcPr>
            <w:tcW w:w="1856"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Rampa de Accesibilidad</w:t>
            </w:r>
          </w:p>
        </w:tc>
        <w:tc>
          <w:tcPr>
            <w:tcW w:w="2353"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Acceso para sillas de ruedas por medio de una rampa semiautomática o manual a nivel de andén (4.2.2.9). Pagina 115</w:t>
            </w:r>
          </w:p>
        </w:tc>
        <w:tc>
          <w:tcPr>
            <w:tcW w:w="2524"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No especificado en la FT.</w:t>
            </w:r>
          </w:p>
        </w:tc>
        <w:tc>
          <w:tcPr>
            <w:tcW w:w="3239" w:type="dxa"/>
            <w:tcBorders>
              <w:top w:val="single" w:sz="2" w:space="0" w:color="DDDDDD"/>
              <w:left w:val="single" w:sz="2" w:space="0" w:color="DDDDDD"/>
              <w:bottom w:val="single" w:sz="2" w:space="0" w:color="DDDDDD"/>
              <w:right w:val="single" w:sz="2" w:space="0" w:color="DDDDDD"/>
            </w:tcBorders>
            <w:vAlign w:val="center"/>
          </w:tcPr>
          <w:p w:rsidR="00F92B38" w:rsidRDefault="00000000">
            <w:pPr>
              <w:pStyle w:val="TableContents"/>
              <w:rPr>
                <w:rFonts w:hint="eastAsia"/>
                <w:color w:val="000000"/>
              </w:rPr>
            </w:pPr>
            <w:r>
              <w:rPr>
                <w:color w:val="000000"/>
              </w:rPr>
              <w:t>**NO CONFORME**. La ausencia de la rampa de accesibilidad es una falla crítica para los requisitos de inclusión.</w:t>
            </w:r>
          </w:p>
        </w:tc>
      </w:tr>
    </w:tbl>
    <w:p w:rsidR="00F92B38" w:rsidRDefault="00000000">
      <w:pPr>
        <w:pStyle w:val="Textoindependiente"/>
        <w:rPr>
          <w:rFonts w:hint="eastAsia"/>
        </w:rPr>
      </w:pPr>
      <w:r>
        <w:rPr>
          <w:rStyle w:val="Textoennegrita"/>
          <w:color w:val="000000"/>
        </w:rPr>
        <w:t>II. Evaluación de la Conformidad con los Criterios Predefinidos e Identificación de Principales Diferencias</w:t>
      </w:r>
    </w:p>
    <w:p w:rsidR="00F92B38" w:rsidRDefault="00000000">
      <w:pPr>
        <w:pStyle w:val="Textoindependiente"/>
        <w:rPr>
          <w:rFonts w:hint="eastAsia"/>
        </w:rPr>
      </w:pPr>
      <w:r>
        <w:rPr>
          <w:color w:val="000000"/>
        </w:rPr>
        <w:t xml:space="preserve">La oferta de la </w:t>
      </w:r>
      <w:r>
        <w:rPr>
          <w:rStyle w:val="Textoennegrita"/>
          <w:color w:val="000000"/>
        </w:rPr>
        <w:t xml:space="preserve">FT </w:t>
      </w:r>
      <w:proofErr w:type="spellStart"/>
      <w:r>
        <w:rPr>
          <w:rStyle w:val="Textoennegrita"/>
          <w:color w:val="000000"/>
        </w:rPr>
        <w:t>Busetón</w:t>
      </w:r>
      <w:proofErr w:type="spellEnd"/>
      <w:r>
        <w:rPr>
          <w:color w:val="000000"/>
        </w:rPr>
        <w:t xml:space="preserve"> presenta diversas y significativas diferencias en relación con los requisitos del </w:t>
      </w:r>
      <w:r>
        <w:rPr>
          <w:rStyle w:val="Textoennegrita"/>
          <w:color w:val="000000"/>
        </w:rPr>
        <w:t>Anexo 3</w:t>
      </w:r>
      <w:r>
        <w:rPr>
          <w:color w:val="000000"/>
        </w:rPr>
        <w:t>, resultando en varias no conformidades críticas.</w:t>
      </w:r>
    </w:p>
    <w:p w:rsidR="00F92B38" w:rsidRDefault="00000000">
      <w:pPr>
        <w:pStyle w:val="Textoindependiente"/>
        <w:rPr>
          <w:rFonts w:hint="eastAsia"/>
        </w:rPr>
      </w:pPr>
      <w:r>
        <w:rPr>
          <w:rStyle w:val="Textoennegrita"/>
          <w:color w:val="000000"/>
        </w:rPr>
        <w:lastRenderedPageBreak/>
        <w:t>Principales Diferencias y Fallas de Conformidad:</w:t>
      </w:r>
    </w:p>
    <w:p w:rsidR="00F92B38" w:rsidRDefault="00000000">
      <w:pPr>
        <w:pStyle w:val="Textoindependiente"/>
        <w:numPr>
          <w:ilvl w:val="0"/>
          <w:numId w:val="2"/>
        </w:numPr>
        <w:tabs>
          <w:tab w:val="left" w:pos="709"/>
        </w:tabs>
        <w:spacing w:after="0"/>
        <w:rPr>
          <w:rFonts w:hint="eastAsia"/>
        </w:rPr>
      </w:pPr>
      <w:r>
        <w:rPr>
          <w:rStyle w:val="Textoennegrita"/>
          <w:color w:val="000000"/>
        </w:rPr>
        <w:t>Incompatibilidad de Capacidad y Peso Operacional:</w:t>
      </w:r>
      <w:r>
        <w:rPr>
          <w:color w:val="000000"/>
        </w:rPr>
        <w:t xml:space="preserve"> La licitación exige un máximo de 50 pasajeros y 11.000 </w:t>
      </w:r>
      <w:proofErr w:type="spellStart"/>
      <w:r>
        <w:rPr>
          <w:color w:val="000000"/>
        </w:rPr>
        <w:t>kgf</w:t>
      </w:r>
      <w:proofErr w:type="spellEnd"/>
      <w:r>
        <w:rPr>
          <w:color w:val="000000"/>
        </w:rPr>
        <w:t xml:space="preserve"> de peso total, con cargas por eje específicas. La oferta presenta un autobús para 60 pasajeros y 14.200 kg de peso total, excediendo los límites para peso total y cargas por eje. Esta es una divergencia fundamental de capacidad y de ingeniería. </w:t>
      </w:r>
    </w:p>
    <w:p w:rsidR="00F92B38" w:rsidRDefault="00000000">
      <w:pPr>
        <w:pStyle w:val="Textoindependiente"/>
        <w:numPr>
          <w:ilvl w:val="0"/>
          <w:numId w:val="2"/>
        </w:numPr>
        <w:tabs>
          <w:tab w:val="left" w:pos="709"/>
        </w:tabs>
        <w:spacing w:after="0"/>
        <w:rPr>
          <w:rFonts w:hint="eastAsia"/>
        </w:rPr>
      </w:pPr>
      <w:r>
        <w:rPr>
          <w:rStyle w:val="Textoennegrita"/>
          <w:color w:val="000000"/>
        </w:rPr>
        <w:t>Asientos Acolchados:</w:t>
      </w:r>
      <w:r>
        <w:rPr>
          <w:color w:val="000000"/>
        </w:rPr>
        <w:t xml:space="preserve"> El </w:t>
      </w:r>
      <w:r>
        <w:rPr>
          <w:rStyle w:val="Textoennegrita"/>
          <w:color w:val="000000"/>
        </w:rPr>
        <w:t>Anexo 3</w:t>
      </w:r>
      <w:r>
        <w:rPr>
          <w:color w:val="000000"/>
        </w:rPr>
        <w:t xml:space="preserve"> prohíbe explícitamente los asientos acolchados ("no acolchados"), buscando tal vez durabilidad, higiene o facilidad de mantenimiento. La </w:t>
      </w:r>
      <w:r>
        <w:rPr>
          <w:rStyle w:val="Textoennegrita"/>
          <w:color w:val="000000"/>
        </w:rPr>
        <w:t xml:space="preserve">FT </w:t>
      </w:r>
      <w:proofErr w:type="spellStart"/>
      <w:r>
        <w:rPr>
          <w:rStyle w:val="Textoennegrita"/>
          <w:color w:val="000000"/>
        </w:rPr>
        <w:t>Busetón</w:t>
      </w:r>
      <w:proofErr w:type="spellEnd"/>
      <w:r>
        <w:rPr>
          <w:color w:val="000000"/>
        </w:rPr>
        <w:t xml:space="preserve"> ofrece "asientos con cojín blando de nylon", lo que es una contradicción directa e inequívoca. </w:t>
      </w:r>
    </w:p>
    <w:p w:rsidR="00F92B38" w:rsidRDefault="00000000">
      <w:pPr>
        <w:pStyle w:val="Textoindependiente"/>
        <w:numPr>
          <w:ilvl w:val="0"/>
          <w:numId w:val="2"/>
        </w:numPr>
        <w:tabs>
          <w:tab w:val="left" w:pos="709"/>
        </w:tabs>
        <w:spacing w:after="0"/>
        <w:rPr>
          <w:rFonts w:hint="eastAsia"/>
        </w:rPr>
      </w:pPr>
      <w:r>
        <w:rPr>
          <w:rStyle w:val="Textoennegrita"/>
          <w:color w:val="000000"/>
        </w:rPr>
        <w:t>Configuración de Puertas de Servicio:</w:t>
      </w:r>
      <w:r>
        <w:rPr>
          <w:color w:val="000000"/>
        </w:rPr>
        <w:t xml:space="preserve"> La licitación exige "dos puertas dobles de servicio". La oferta presenta una "puerta delantera simple y una trasera doble", no cumpliendo con la configuración exigida, lo que afecta directamente el flujo de pasajeros y la operación. </w:t>
      </w:r>
    </w:p>
    <w:p w:rsidR="00F92B38" w:rsidRDefault="00000000">
      <w:pPr>
        <w:pStyle w:val="Textoindependiente"/>
        <w:numPr>
          <w:ilvl w:val="0"/>
          <w:numId w:val="2"/>
        </w:numPr>
        <w:tabs>
          <w:tab w:val="left" w:pos="709"/>
        </w:tabs>
        <w:spacing w:after="0"/>
        <w:rPr>
          <w:rFonts w:hint="eastAsia"/>
        </w:rPr>
      </w:pPr>
      <w:r>
        <w:rPr>
          <w:rStyle w:val="Textoennegrita"/>
          <w:color w:val="000000"/>
        </w:rPr>
        <w:t>Sistemas de Seguridad Esenciales:</w:t>
      </w:r>
    </w:p>
    <w:p w:rsidR="00F92B38" w:rsidRDefault="00000000">
      <w:pPr>
        <w:pStyle w:val="Textoindependiente"/>
        <w:numPr>
          <w:ilvl w:val="1"/>
          <w:numId w:val="2"/>
        </w:numPr>
        <w:tabs>
          <w:tab w:val="left" w:pos="1418"/>
        </w:tabs>
        <w:spacing w:after="0"/>
        <w:rPr>
          <w:rFonts w:hint="eastAsia"/>
        </w:rPr>
      </w:pPr>
      <w:r>
        <w:rPr>
          <w:rStyle w:val="Textoennegrita"/>
          <w:color w:val="000000"/>
        </w:rPr>
        <w:t>Luz de Freno Superior (Tercer Stop):</w:t>
      </w:r>
      <w:r>
        <w:rPr>
          <w:color w:val="000000"/>
        </w:rPr>
        <w:t xml:space="preserve"> La </w:t>
      </w:r>
      <w:r>
        <w:rPr>
          <w:rStyle w:val="Textoennegrita"/>
          <w:color w:val="000000"/>
        </w:rPr>
        <w:t xml:space="preserve">FT </w:t>
      </w:r>
      <w:proofErr w:type="spellStart"/>
      <w:r>
        <w:rPr>
          <w:rStyle w:val="Textoennegrita"/>
          <w:color w:val="000000"/>
        </w:rPr>
        <w:t>Busetón</w:t>
      </w:r>
      <w:proofErr w:type="spellEnd"/>
      <w:r>
        <w:rPr>
          <w:color w:val="000000"/>
        </w:rPr>
        <w:t xml:space="preserve"> declara explícitamente la ausencia de este elemento, que es un requisito de seguridad obligatorio. </w:t>
      </w:r>
    </w:p>
    <w:p w:rsidR="00F92B38" w:rsidRDefault="00000000">
      <w:pPr>
        <w:pStyle w:val="Textoindependiente"/>
        <w:numPr>
          <w:ilvl w:val="0"/>
          <w:numId w:val="2"/>
        </w:numPr>
        <w:tabs>
          <w:tab w:val="left" w:pos="709"/>
        </w:tabs>
        <w:spacing w:after="0"/>
        <w:rPr>
          <w:rFonts w:hint="eastAsia"/>
        </w:rPr>
      </w:pPr>
      <w:r>
        <w:rPr>
          <w:rStyle w:val="Textoennegrita"/>
          <w:color w:val="000000"/>
        </w:rPr>
        <w:t>Accesibilidad:</w:t>
      </w:r>
    </w:p>
    <w:p w:rsidR="00F92B38" w:rsidRDefault="00000000">
      <w:pPr>
        <w:pStyle w:val="Textoindependiente"/>
        <w:numPr>
          <w:ilvl w:val="1"/>
          <w:numId w:val="2"/>
        </w:numPr>
        <w:tabs>
          <w:tab w:val="left" w:pos="1418"/>
        </w:tabs>
        <w:spacing w:after="0"/>
        <w:rPr>
          <w:rFonts w:hint="eastAsia"/>
        </w:rPr>
      </w:pPr>
      <w:r>
        <w:rPr>
          <w:rStyle w:val="Textoennegrita"/>
          <w:color w:val="000000"/>
        </w:rPr>
        <w:t>Rampa de Accesibilidad:</w:t>
      </w:r>
      <w:r>
        <w:rPr>
          <w:color w:val="000000"/>
        </w:rPr>
        <w:t xml:space="preserve"> La </w:t>
      </w:r>
      <w:r>
        <w:rPr>
          <w:rStyle w:val="Textoennegrita"/>
          <w:color w:val="000000"/>
        </w:rPr>
        <w:t xml:space="preserve">FT </w:t>
      </w:r>
      <w:proofErr w:type="spellStart"/>
      <w:r>
        <w:rPr>
          <w:rStyle w:val="Textoennegrita"/>
          <w:color w:val="000000"/>
        </w:rPr>
        <w:t>Busetón</w:t>
      </w:r>
      <w:proofErr w:type="spellEnd"/>
      <w:r>
        <w:rPr>
          <w:color w:val="000000"/>
        </w:rPr>
        <w:t xml:space="preserve"> no especifica la inclusión de una rampa para sillas de ruedas, lo cual es un requisito central para la accesibilidad. </w:t>
      </w:r>
    </w:p>
    <w:p w:rsidR="00F92B38" w:rsidRDefault="00000000">
      <w:pPr>
        <w:pStyle w:val="Textoindependiente"/>
        <w:numPr>
          <w:ilvl w:val="1"/>
          <w:numId w:val="2"/>
        </w:numPr>
        <w:tabs>
          <w:tab w:val="left" w:pos="1418"/>
        </w:tabs>
        <w:spacing w:after="0"/>
        <w:rPr>
          <w:rFonts w:hint="eastAsia"/>
        </w:rPr>
      </w:pPr>
      <w:r>
        <w:rPr>
          <w:rStyle w:val="Textoennegrita"/>
          <w:color w:val="000000"/>
        </w:rPr>
        <w:t>Escotillas de Emergencia:</w:t>
      </w:r>
      <w:r>
        <w:rPr>
          <w:color w:val="000000"/>
        </w:rPr>
        <w:t xml:space="preserve"> La oferta de solo una escotilla no cumple con el requisito de 1 por cada 40 pasajeros. </w:t>
      </w:r>
    </w:p>
    <w:p w:rsidR="00F92B38" w:rsidRDefault="00000000">
      <w:pPr>
        <w:pStyle w:val="Textoindependiente"/>
        <w:numPr>
          <w:ilvl w:val="0"/>
          <w:numId w:val="2"/>
        </w:numPr>
        <w:tabs>
          <w:tab w:val="left" w:pos="709"/>
        </w:tabs>
        <w:spacing w:after="0"/>
        <w:rPr>
          <w:rFonts w:hint="eastAsia"/>
        </w:rPr>
      </w:pPr>
      <w:r>
        <w:rPr>
          <w:rStyle w:val="Textoennegrita"/>
          <w:color w:val="000000"/>
        </w:rPr>
        <w:t>Rendimiento y Durabilidad:</w:t>
      </w:r>
    </w:p>
    <w:p w:rsidR="00F92B38" w:rsidRDefault="00000000">
      <w:pPr>
        <w:pStyle w:val="Textoindependiente"/>
        <w:numPr>
          <w:ilvl w:val="1"/>
          <w:numId w:val="2"/>
        </w:numPr>
        <w:tabs>
          <w:tab w:val="left" w:pos="1418"/>
        </w:tabs>
        <w:spacing w:after="0"/>
        <w:rPr>
          <w:rFonts w:hint="eastAsia"/>
        </w:rPr>
      </w:pPr>
      <w:r>
        <w:rPr>
          <w:rStyle w:val="Textoennegrita"/>
          <w:color w:val="000000"/>
        </w:rPr>
        <w:t>Autonomía de la Batería:</w:t>
      </w:r>
      <w:r>
        <w:rPr>
          <w:color w:val="000000"/>
        </w:rPr>
        <w:t xml:space="preserve"> La autonomía mínima de 200 km para vehículos eléctricos y la garantía de vida útil de la batería (15 años o 10 años de capacidad de carga) son aspectos críticos no detallados en la FT. </w:t>
      </w:r>
    </w:p>
    <w:p w:rsidR="00F92B38" w:rsidRDefault="00000000">
      <w:pPr>
        <w:pStyle w:val="Textoindependiente"/>
        <w:numPr>
          <w:ilvl w:val="1"/>
          <w:numId w:val="2"/>
        </w:numPr>
        <w:tabs>
          <w:tab w:val="left" w:pos="1418"/>
        </w:tabs>
        <w:rPr>
          <w:rFonts w:hint="eastAsia"/>
        </w:rPr>
      </w:pPr>
      <w:r>
        <w:rPr>
          <w:rStyle w:val="Textoennegrita"/>
          <w:color w:val="000000"/>
        </w:rPr>
        <w:t>Límite de Velocidad:</w:t>
      </w:r>
      <w:r>
        <w:rPr>
          <w:color w:val="000000"/>
        </w:rPr>
        <w:t xml:space="preserve"> La velocidad máxima indicada (69 km/h) excede el límite máximo establecido de 60 km/h, sin indicación de un limitador. </w:t>
      </w:r>
    </w:p>
    <w:p w:rsidR="00F92B38" w:rsidRDefault="00000000">
      <w:pPr>
        <w:pStyle w:val="Textoindependiente"/>
        <w:rPr>
          <w:rFonts w:hint="eastAsia"/>
        </w:rPr>
      </w:pPr>
      <w:r>
        <w:rPr>
          <w:rStyle w:val="Textoennegrita"/>
          <w:color w:val="000000"/>
        </w:rPr>
        <w:t>III. Fundamentación para Desclasificación de la Oferta</w:t>
      </w:r>
    </w:p>
    <w:p w:rsidR="00F92B38" w:rsidRDefault="00000000">
      <w:pPr>
        <w:pStyle w:val="Textoindependiente"/>
        <w:rPr>
          <w:rFonts w:hint="eastAsia"/>
          <w:color w:val="000000"/>
        </w:rPr>
      </w:pPr>
      <w:r>
        <w:rPr>
          <w:color w:val="000000"/>
        </w:rPr>
        <w:t xml:space="preserve">Con base en el análisis comparativo, la oferta del </w:t>
      </w:r>
      <w:proofErr w:type="spellStart"/>
      <w:r>
        <w:rPr>
          <w:color w:val="000000"/>
        </w:rPr>
        <w:t>Busetón</w:t>
      </w:r>
      <w:proofErr w:type="spellEnd"/>
      <w:r>
        <w:rPr>
          <w:color w:val="000000"/>
        </w:rPr>
        <w:t xml:space="preserve"> Eléctrico DD6851EV13E presenta múltiples y sustanciales no conformidades en relación con las especificaciones técnicas de la licitación Anexo 3. ESPECIFICACIONES TECNICAS AUTOBUSES TRANSCARIBE (1) para "Autobuses </w:t>
      </w:r>
      <w:proofErr w:type="spellStart"/>
      <w:r>
        <w:rPr>
          <w:color w:val="000000"/>
        </w:rPr>
        <w:t>Busetones</w:t>
      </w:r>
      <w:proofErr w:type="spellEnd"/>
      <w:r>
        <w:rPr>
          <w:color w:val="000000"/>
        </w:rPr>
        <w:t>".</w:t>
      </w:r>
    </w:p>
    <w:p w:rsidR="00F92B38" w:rsidRDefault="00000000">
      <w:pPr>
        <w:pStyle w:val="Textoindependiente"/>
        <w:rPr>
          <w:rFonts w:hint="eastAsia"/>
          <w:color w:val="000000"/>
        </w:rPr>
      </w:pPr>
      <w:r>
        <w:rPr>
          <w:color w:val="000000"/>
        </w:rPr>
        <w:t>Los siguientes puntos, aislada o conjuntamente, constituyen motivos sólidos para la descalificación de esta oferta:</w:t>
      </w:r>
    </w:p>
    <w:p w:rsidR="00F92B38" w:rsidRDefault="00000000">
      <w:pPr>
        <w:pStyle w:val="Textoindependiente"/>
        <w:numPr>
          <w:ilvl w:val="0"/>
          <w:numId w:val="3"/>
        </w:numPr>
        <w:tabs>
          <w:tab w:val="left" w:pos="709"/>
        </w:tabs>
        <w:spacing w:after="0"/>
        <w:rPr>
          <w:rFonts w:hint="eastAsia"/>
        </w:rPr>
      </w:pPr>
      <w:r>
        <w:rPr>
          <w:rStyle w:val="Textoennegrita"/>
          <w:color w:val="000000"/>
        </w:rPr>
        <w:t>Incompatibilidad de Capacidad y Peso Operacional:</w:t>
      </w:r>
      <w:r>
        <w:rPr>
          <w:color w:val="000000"/>
        </w:rPr>
        <w:t xml:space="preserve"> La oferta de un autobús con capacidad para 60 pasajeros y un peso máximo de 14.200 </w:t>
      </w:r>
      <w:proofErr w:type="spellStart"/>
      <w:r>
        <w:rPr>
          <w:color w:val="000000"/>
        </w:rPr>
        <w:t>kgf</w:t>
      </w:r>
      <w:proofErr w:type="spellEnd"/>
      <w:r>
        <w:rPr>
          <w:color w:val="000000"/>
        </w:rPr>
        <w:t xml:space="preserve">, frente a los límites de 50 pasajeros y 11.000 </w:t>
      </w:r>
      <w:proofErr w:type="spellStart"/>
      <w:r>
        <w:rPr>
          <w:color w:val="000000"/>
        </w:rPr>
        <w:t>kgf</w:t>
      </w:r>
      <w:proofErr w:type="spellEnd"/>
      <w:r>
        <w:rPr>
          <w:color w:val="000000"/>
        </w:rPr>
        <w:t xml:space="preserve">, representa una falla fundamental en las especificaciones operacionales y de ingeniería. Esto impacta directamente la infraestructura existente, la seguridad y la eficiencia del servicio </w:t>
      </w:r>
      <w:r>
        <w:rPr>
          <w:color w:val="000000"/>
        </w:rPr>
        <w:lastRenderedPageBreak/>
        <w:t xml:space="preserve">planificado. Esto va inviabilizar que el bus pueda circular en </w:t>
      </w:r>
      <w:proofErr w:type="spellStart"/>
      <w:r>
        <w:rPr>
          <w:color w:val="000000"/>
        </w:rPr>
        <w:t>puntes</w:t>
      </w:r>
      <w:proofErr w:type="spellEnd"/>
      <w:r>
        <w:rPr>
          <w:color w:val="000000"/>
        </w:rPr>
        <w:t xml:space="preserve"> de la ciudad que no tienen esta capacidad limitando el uso del bus.</w:t>
      </w:r>
    </w:p>
    <w:p w:rsidR="00F92B38" w:rsidRDefault="00000000">
      <w:pPr>
        <w:pStyle w:val="Textoindependiente"/>
        <w:numPr>
          <w:ilvl w:val="0"/>
          <w:numId w:val="3"/>
        </w:numPr>
        <w:tabs>
          <w:tab w:val="left" w:pos="709"/>
        </w:tabs>
        <w:spacing w:after="0"/>
        <w:rPr>
          <w:rFonts w:hint="eastAsia"/>
        </w:rPr>
      </w:pPr>
      <w:r>
        <w:rPr>
          <w:rStyle w:val="Textoennegrita"/>
          <w:color w:val="000000"/>
        </w:rPr>
        <w:t>Incumplimiento de Requisitos de Seguridad Esenciales:</w:t>
      </w:r>
      <w:r>
        <w:rPr>
          <w:color w:val="000000"/>
        </w:rPr>
        <w:t xml:space="preserve"> La ausencia explícita de la luz de freno superior (tercer stop) es una  falla directas en requisitos de seguridad obligatorios que comprometen la seguridad de los pasajeros. </w:t>
      </w:r>
    </w:p>
    <w:p w:rsidR="00F92B38" w:rsidRDefault="00000000">
      <w:pPr>
        <w:pStyle w:val="Textoindependiente"/>
        <w:numPr>
          <w:ilvl w:val="0"/>
          <w:numId w:val="3"/>
        </w:numPr>
        <w:tabs>
          <w:tab w:val="left" w:pos="709"/>
        </w:tabs>
        <w:spacing w:after="0"/>
        <w:rPr>
          <w:rFonts w:hint="eastAsia"/>
        </w:rPr>
      </w:pPr>
      <w:r>
        <w:rPr>
          <w:rStyle w:val="Textoennegrita"/>
          <w:color w:val="000000"/>
        </w:rPr>
        <w:t>Divergencia Crítica en los Asientos de Pasajeros:</w:t>
      </w:r>
      <w:r>
        <w:rPr>
          <w:color w:val="000000"/>
        </w:rPr>
        <w:t xml:space="preserve"> La oferta de "asientos con cojín blando de nylon" contradice expresamente el requisito de asientos "no acolchados". Esta no conformidad no es meramente cosmética, sino que puede estar relacionada con aspectos de durabilidad, higiene y adecuación al entorno de transporte público de alta demanda. </w:t>
      </w:r>
    </w:p>
    <w:p w:rsidR="00F92B38" w:rsidRDefault="00000000">
      <w:pPr>
        <w:pStyle w:val="Textoindependiente"/>
        <w:numPr>
          <w:ilvl w:val="0"/>
          <w:numId w:val="3"/>
        </w:numPr>
        <w:tabs>
          <w:tab w:val="left" w:pos="709"/>
        </w:tabs>
        <w:spacing w:after="0"/>
        <w:rPr>
          <w:rFonts w:hint="eastAsia"/>
        </w:rPr>
      </w:pPr>
      <w:r>
        <w:rPr>
          <w:rStyle w:val="Textoennegrita"/>
          <w:color w:val="000000"/>
        </w:rPr>
        <w:t>Configuración de Puertas Incompatible:</w:t>
      </w:r>
      <w:r>
        <w:rPr>
          <w:color w:val="000000"/>
        </w:rPr>
        <w:t xml:space="preserve"> La configuración de puertas ofrecida (una simple y una doble) no se corresponde con el requisito de "dos puertas dobles", lo que perjudicaría gravemente la eficiencia en el embarque y desembarque de pasajeros, afectando la fluidez de la operación. </w:t>
      </w:r>
    </w:p>
    <w:p w:rsidR="00F92B38" w:rsidRDefault="00000000">
      <w:pPr>
        <w:pStyle w:val="Textoindependiente"/>
        <w:numPr>
          <w:ilvl w:val="0"/>
          <w:numId w:val="3"/>
        </w:numPr>
        <w:tabs>
          <w:tab w:val="left" w:pos="709"/>
        </w:tabs>
        <w:spacing w:after="0"/>
        <w:rPr>
          <w:rFonts w:hint="eastAsia"/>
        </w:rPr>
      </w:pPr>
      <w:r>
        <w:rPr>
          <w:rStyle w:val="Textoennegrita"/>
          <w:color w:val="000000"/>
        </w:rPr>
        <w:t>Falla en Requisitos de Accesibilidad Fundamentales:</w:t>
      </w:r>
      <w:r>
        <w:rPr>
          <w:color w:val="000000"/>
        </w:rPr>
        <w:t xml:space="preserve"> La ausencia de la rampa de accesibilidad y el número insuficiente de escotillas de emergencia demuestran una falla en cumplir con las normas de inclusión y seguridad para personas con movilidad reducida, que son pilares de los requisitos de la licitación. </w:t>
      </w:r>
    </w:p>
    <w:p w:rsidR="00F92B38" w:rsidRDefault="00000000">
      <w:pPr>
        <w:pStyle w:val="Textoindependiente"/>
        <w:numPr>
          <w:ilvl w:val="0"/>
          <w:numId w:val="3"/>
        </w:numPr>
        <w:tabs>
          <w:tab w:val="left" w:pos="709"/>
        </w:tabs>
        <w:rPr>
          <w:rFonts w:hint="eastAsia"/>
        </w:rPr>
      </w:pPr>
      <w:r>
        <w:rPr>
          <w:rStyle w:val="Textoennegrita"/>
          <w:color w:val="000000"/>
        </w:rPr>
        <w:t>Incompletitud y Falta de Garantías para Componentes Eléctricos:</w:t>
      </w:r>
      <w:r>
        <w:rPr>
          <w:color w:val="000000"/>
        </w:rPr>
        <w:t xml:space="preserve"> La falta de especificación de la autonomía mínima de 300 km y de la garantía de vida útil de la batería (15 años o 10 años de capacidad de carga) impide la evaluación del rendimiento a largo plazo y del costo total de propiedad del vehículo eléctrico, elementos esenciales para una adquisición de esta tecnología. </w:t>
      </w:r>
    </w:p>
    <w:p w:rsidR="00F92B38" w:rsidRDefault="00000000">
      <w:pPr>
        <w:pStyle w:val="Textoindependiente"/>
        <w:rPr>
          <w:rFonts w:hint="eastAsia"/>
          <w:color w:val="000000"/>
        </w:rPr>
      </w:pPr>
      <w:r>
        <w:rPr>
          <w:color w:val="000000"/>
        </w:rPr>
        <w:t xml:space="preserve">En conclusión, la oferta del </w:t>
      </w:r>
      <w:proofErr w:type="spellStart"/>
      <w:r>
        <w:rPr>
          <w:color w:val="000000"/>
        </w:rPr>
        <w:t>Busetón</w:t>
      </w:r>
      <w:proofErr w:type="spellEnd"/>
      <w:r>
        <w:rPr>
          <w:color w:val="000000"/>
        </w:rPr>
        <w:t xml:space="preserve"> Eléctrico DD6851EV13E falla en múltiples aspectos críticos de las especificaciones técnicas de la licitación. Las no conformidades identificadas van más allá de detalles menores, afectando la capacidad operacional, la seguridad, la accesibilidad, la integración con el sistema de transporte y la durabilidad del vehículo. Por estas razones, la oferta debe considerarse no conforme y, por lo tanto, susceptible de descalificación.</w:t>
      </w:r>
    </w:p>
    <w:p w:rsidR="00F92B38" w:rsidRDefault="00F92B38">
      <w:pPr>
        <w:pStyle w:val="Textoindependiente"/>
        <w:rPr>
          <w:rFonts w:hint="eastAsia"/>
        </w:rPr>
      </w:pPr>
    </w:p>
    <w:sectPr w:rsidR="00F92B38">
      <w:headerReference w:type="default" r:id="rId7"/>
      <w:pgSz w:w="12240" w:h="15840"/>
      <w:pgMar w:top="1134" w:right="1134" w:bottom="1134" w:left="1134" w:header="0" w:footer="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87E97" w:rsidRDefault="00387E97" w:rsidP="00785F63">
      <w:pPr>
        <w:rPr>
          <w:rFonts w:hint="eastAsia"/>
        </w:rPr>
      </w:pPr>
      <w:r>
        <w:separator/>
      </w:r>
    </w:p>
  </w:endnote>
  <w:endnote w:type="continuationSeparator" w:id="0">
    <w:p w:rsidR="00387E97" w:rsidRDefault="00387E97" w:rsidP="00785F63">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B0604020202020204"/>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OpenSymbol">
    <w:altName w:val="Arial Unicode MS"/>
    <w:panose1 w:val="020B0604020202020204"/>
    <w:charset w:val="00"/>
    <w:family w:val="roman"/>
    <w:pitch w:val="variable"/>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A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87E97" w:rsidRDefault="00387E97" w:rsidP="00785F63">
      <w:pPr>
        <w:rPr>
          <w:rFonts w:hint="eastAsia"/>
        </w:rPr>
      </w:pPr>
      <w:r>
        <w:separator/>
      </w:r>
    </w:p>
  </w:footnote>
  <w:footnote w:type="continuationSeparator" w:id="0">
    <w:p w:rsidR="00387E97" w:rsidRDefault="00387E97" w:rsidP="00785F63">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85F63" w:rsidRDefault="00785F63">
    <w:pPr>
      <w:pStyle w:val="Encabezado"/>
      <w:rPr>
        <w:lang w:val="es-ES_tradnl"/>
      </w:rPr>
    </w:pPr>
  </w:p>
  <w:p w:rsidR="00785F63" w:rsidRDefault="00785F63" w:rsidP="00785F63">
    <w:pPr>
      <w:pStyle w:val="Textoindependiente"/>
      <w:spacing w:after="0"/>
      <w:contextualSpacing/>
      <w:jc w:val="both"/>
      <w:rPr>
        <w:color w:val="000000"/>
      </w:rPr>
    </w:pPr>
  </w:p>
  <w:p w:rsidR="00785F63" w:rsidRDefault="00785F63" w:rsidP="00785F63">
    <w:pPr>
      <w:pStyle w:val="Textoindependiente"/>
      <w:spacing w:after="0"/>
      <w:contextualSpacing/>
      <w:jc w:val="both"/>
      <w:rPr>
        <w:color w:val="000000"/>
      </w:rPr>
    </w:pPr>
  </w:p>
  <w:p w:rsidR="00785F63" w:rsidRDefault="00785F63" w:rsidP="00785F63">
    <w:pPr>
      <w:pStyle w:val="Textoindependiente"/>
      <w:spacing w:after="0"/>
      <w:contextualSpacing/>
      <w:jc w:val="both"/>
      <w:rPr>
        <w:color w:val="000000"/>
      </w:rPr>
    </w:pPr>
    <w:r>
      <w:rPr>
        <w:color w:val="000000"/>
      </w:rPr>
      <w:t xml:space="preserve">Análisis comparativo detallado entre las especificaciones de la licitación de la ciudad de Cartagena (Anexo 3. ESPECIFICACIONES TECNICAS AUTOBUSES TRANSCARIBE (1)) y la oferta del </w:t>
    </w:r>
    <w:proofErr w:type="spellStart"/>
    <w:r>
      <w:rPr>
        <w:color w:val="000000"/>
      </w:rPr>
      <w:t>Busetón</w:t>
    </w:r>
    <w:proofErr w:type="spellEnd"/>
    <w:r>
      <w:rPr>
        <w:color w:val="000000"/>
      </w:rPr>
      <w:t xml:space="preserve"> Eléctrico (archivos 'FT BUSETON ELECTRICO DD6851EV13E'). </w:t>
    </w:r>
  </w:p>
  <w:p w:rsidR="00785F63" w:rsidRPr="00785F63" w:rsidRDefault="00785F63">
    <w:pPr>
      <w:pStyle w:val="Encabezado"/>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A0092"/>
    <w:multiLevelType w:val="multilevel"/>
    <w:tmpl w:val="0F663338"/>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1" w15:restartNumberingAfterBreak="0">
    <w:nsid w:val="0D080BDE"/>
    <w:multiLevelType w:val="multilevel"/>
    <w:tmpl w:val="FD369E60"/>
    <w:lvl w:ilvl="0">
      <w:start w:val="1"/>
      <w:numFmt w:val="decimal"/>
      <w:lvlText w:val="%1."/>
      <w:lvlJc w:val="left"/>
      <w:pPr>
        <w:tabs>
          <w:tab w:val="num" w:pos="709"/>
        </w:tabs>
        <w:ind w:left="709" w:hanging="283"/>
      </w:pPr>
    </w:lvl>
    <w:lvl w:ilvl="1">
      <w:start w:val="1"/>
      <w:numFmt w:val="decimal"/>
      <w:lvlText w:val="%2."/>
      <w:lvlJc w:val="left"/>
      <w:pPr>
        <w:tabs>
          <w:tab w:val="num" w:pos="1418"/>
        </w:tabs>
        <w:ind w:left="1418" w:hanging="283"/>
      </w:pPr>
    </w:lvl>
    <w:lvl w:ilvl="2">
      <w:start w:val="1"/>
      <w:numFmt w:val="decimal"/>
      <w:lvlText w:val="%3."/>
      <w:lvlJc w:val="left"/>
      <w:pPr>
        <w:tabs>
          <w:tab w:val="num" w:pos="2127"/>
        </w:tabs>
        <w:ind w:left="2127" w:hanging="283"/>
      </w:pPr>
    </w:lvl>
    <w:lvl w:ilvl="3">
      <w:start w:val="1"/>
      <w:numFmt w:val="decimal"/>
      <w:lvlText w:val="%4."/>
      <w:lvlJc w:val="left"/>
      <w:pPr>
        <w:tabs>
          <w:tab w:val="num" w:pos="2836"/>
        </w:tabs>
        <w:ind w:left="2836" w:hanging="283"/>
      </w:pPr>
    </w:lvl>
    <w:lvl w:ilvl="4">
      <w:start w:val="1"/>
      <w:numFmt w:val="decimal"/>
      <w:lvlText w:val="%5."/>
      <w:lvlJc w:val="left"/>
      <w:pPr>
        <w:tabs>
          <w:tab w:val="num" w:pos="3545"/>
        </w:tabs>
        <w:ind w:left="3545" w:hanging="283"/>
      </w:pPr>
    </w:lvl>
    <w:lvl w:ilvl="5">
      <w:start w:val="1"/>
      <w:numFmt w:val="decimal"/>
      <w:lvlText w:val="%6."/>
      <w:lvlJc w:val="left"/>
      <w:pPr>
        <w:tabs>
          <w:tab w:val="num" w:pos="4254"/>
        </w:tabs>
        <w:ind w:left="4254" w:hanging="283"/>
      </w:pPr>
    </w:lvl>
    <w:lvl w:ilvl="6">
      <w:start w:val="1"/>
      <w:numFmt w:val="decimal"/>
      <w:lvlText w:val="%7."/>
      <w:lvlJc w:val="left"/>
      <w:pPr>
        <w:tabs>
          <w:tab w:val="num" w:pos="4963"/>
        </w:tabs>
        <w:ind w:left="4963" w:hanging="283"/>
      </w:pPr>
    </w:lvl>
    <w:lvl w:ilvl="7">
      <w:start w:val="1"/>
      <w:numFmt w:val="decimal"/>
      <w:lvlText w:val="%8."/>
      <w:lvlJc w:val="left"/>
      <w:pPr>
        <w:tabs>
          <w:tab w:val="num" w:pos="5672"/>
        </w:tabs>
        <w:ind w:left="5672" w:hanging="283"/>
      </w:pPr>
    </w:lvl>
    <w:lvl w:ilvl="8">
      <w:start w:val="1"/>
      <w:numFmt w:val="decimal"/>
      <w:lvlText w:val="%9."/>
      <w:lvlJc w:val="left"/>
      <w:pPr>
        <w:tabs>
          <w:tab w:val="num" w:pos="6381"/>
        </w:tabs>
        <w:ind w:left="6381" w:hanging="283"/>
      </w:pPr>
    </w:lvl>
  </w:abstractNum>
  <w:abstractNum w:abstractNumId="2" w15:restartNumberingAfterBreak="0">
    <w:nsid w:val="779B34A4"/>
    <w:multiLevelType w:val="multilevel"/>
    <w:tmpl w:val="71AAFE0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390151004">
    <w:abstractNumId w:val="2"/>
  </w:num>
  <w:num w:numId="2" w16cid:durableId="682632853">
    <w:abstractNumId w:val="0"/>
  </w:num>
  <w:num w:numId="3" w16cid:durableId="11159470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clean"/>
  <w:defaultTabStop w:val="709"/>
  <w:autoHyphenation/>
  <w:hyphenationZone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rsids>
    <w:rsidRoot w:val="00F92B38"/>
    <w:rsid w:val="00387E97"/>
    <w:rsid w:val="00785F63"/>
    <w:rsid w:val="008C07FA"/>
    <w:rsid w:val="00B25C6B"/>
    <w:rsid w:val="00E432DD"/>
    <w:rsid w:val="00EB0966"/>
    <w:rsid w:val="00F92B3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41D090DC"/>
  <w15:docId w15:val="{A1F1BF0E-B599-5D45-B3A3-D649AF79A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kern w:val="2"/>
        <w:sz w:val="24"/>
        <w:szCs w:val="24"/>
        <w:lang w:val="es-CO"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Heading"/>
    <w:next w:val="Textoindependiente"/>
    <w:uiPriority w:val="9"/>
    <w:unhideWhenUsed/>
    <w:qFormat/>
    <w:pPr>
      <w:spacing w:before="200"/>
      <w:outlineLvl w:val="1"/>
    </w:pPr>
    <w:rPr>
      <w:rFonts w:ascii="Liberation Serif" w:eastAsia="NSimSun" w:hAnsi="Liberation Serif"/>
      <w:b/>
      <w:bCs/>
      <w:sz w:val="36"/>
      <w:szCs w:val="36"/>
    </w:rPr>
  </w:style>
  <w:style w:type="paragraph" w:styleId="Ttulo3">
    <w:name w:val="heading 3"/>
    <w:basedOn w:val="Heading"/>
    <w:next w:val="Textoindependiente"/>
    <w:uiPriority w:val="9"/>
    <w:unhideWhenUsed/>
    <w:qFormat/>
    <w:pPr>
      <w:spacing w:before="140"/>
      <w:outlineLvl w:val="2"/>
    </w:pPr>
    <w:rPr>
      <w:rFonts w:ascii="Liberation Serif" w:eastAsia="NSimSun" w:hAnsi="Liberation Serif"/>
      <w:b/>
      <w:bCs/>
    </w:rPr>
  </w:style>
  <w:style w:type="paragraph" w:styleId="Ttulo4">
    <w:name w:val="heading 4"/>
    <w:basedOn w:val="Heading"/>
    <w:next w:val="Textoindependiente"/>
    <w:uiPriority w:val="9"/>
    <w:semiHidden/>
    <w:unhideWhenUsed/>
    <w:qFormat/>
    <w:pPr>
      <w:spacing w:before="120"/>
      <w:outlineLvl w:val="3"/>
    </w:pPr>
    <w:rPr>
      <w:rFonts w:ascii="Liberation Serif" w:eastAsia="NSimSun" w:hAnsi="Liberation Serif"/>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qFormat/>
    <w:rPr>
      <w:b/>
      <w:bCs/>
    </w:rPr>
  </w:style>
  <w:style w:type="character" w:styleId="nfasis">
    <w:name w:val="Emphasis"/>
    <w:qFormat/>
    <w:rPr>
      <w:i/>
      <w:iCs/>
    </w:rPr>
  </w:style>
  <w:style w:type="character" w:customStyle="1" w:styleId="Bulletsuser">
    <w:name w:val="Bullets (user)"/>
    <w:qFormat/>
    <w:rPr>
      <w:rFonts w:ascii="OpenSymbol" w:eastAsia="OpenSymbol" w:hAnsi="OpenSymbol" w:cs="OpenSymbol"/>
    </w:rPr>
  </w:style>
  <w:style w:type="character" w:customStyle="1" w:styleId="NumberingSymbols">
    <w:name w:val="Numbering Symbols"/>
    <w:qFormat/>
  </w:style>
  <w:style w:type="paragraph" w:customStyle="1" w:styleId="Heading">
    <w:name w:val="Heading"/>
    <w:basedOn w:val="Normal"/>
    <w:next w:val="Textoindependiente"/>
    <w:qFormat/>
    <w:pPr>
      <w:keepNext/>
      <w:spacing w:before="240" w:after="120"/>
    </w:pPr>
    <w:rPr>
      <w:rFonts w:ascii="Liberation Sans" w:eastAsia="Microsoft YaHei" w:hAnsi="Liberation Sans"/>
      <w:sz w:val="28"/>
      <w:szCs w:val="28"/>
    </w:rPr>
  </w:style>
  <w:style w:type="paragraph" w:styleId="Textoindependiente">
    <w:name w:val="Body Text"/>
    <w:basedOn w:val="Normal"/>
    <w:pPr>
      <w:spacing w:after="140" w:line="276" w:lineRule="auto"/>
    </w:pPr>
  </w:style>
  <w:style w:type="paragraph" w:styleId="Lista">
    <w:name w:val="List"/>
    <w:basedOn w:val="Textoindependiente"/>
  </w:style>
  <w:style w:type="paragraph" w:styleId="Descripci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HorizontalLine">
    <w:name w:val="Horizontal Line"/>
    <w:basedOn w:val="Normal"/>
    <w:next w:val="Textoindependiente"/>
    <w:qFormat/>
    <w:pPr>
      <w:suppressLineNumbers/>
      <w:pBdr>
        <w:bottom w:val="double" w:sz="2" w:space="0" w:color="808080"/>
      </w:pBdr>
      <w:spacing w:after="283"/>
    </w:pPr>
    <w:rPr>
      <w:sz w:val="12"/>
      <w:szCs w:val="12"/>
    </w:rP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paragraph" w:styleId="Encabezado">
    <w:name w:val="header"/>
    <w:basedOn w:val="Normal"/>
    <w:link w:val="EncabezadoCar"/>
    <w:uiPriority w:val="99"/>
    <w:unhideWhenUsed/>
    <w:rsid w:val="00785F63"/>
    <w:pPr>
      <w:tabs>
        <w:tab w:val="center" w:pos="4419"/>
        <w:tab w:val="right" w:pos="8838"/>
      </w:tabs>
    </w:pPr>
    <w:rPr>
      <w:rFonts w:cs="Mangal"/>
      <w:szCs w:val="21"/>
    </w:rPr>
  </w:style>
  <w:style w:type="character" w:customStyle="1" w:styleId="EncabezadoCar">
    <w:name w:val="Encabezado Car"/>
    <w:basedOn w:val="Fuentedeprrafopredeter"/>
    <w:link w:val="Encabezado"/>
    <w:uiPriority w:val="99"/>
    <w:rsid w:val="00785F63"/>
    <w:rPr>
      <w:rFonts w:cs="Mangal"/>
      <w:szCs w:val="21"/>
    </w:rPr>
  </w:style>
  <w:style w:type="paragraph" w:styleId="Piedepgina">
    <w:name w:val="footer"/>
    <w:basedOn w:val="Normal"/>
    <w:link w:val="PiedepginaCar"/>
    <w:uiPriority w:val="99"/>
    <w:unhideWhenUsed/>
    <w:rsid w:val="00785F63"/>
    <w:pPr>
      <w:tabs>
        <w:tab w:val="center" w:pos="4419"/>
        <w:tab w:val="right" w:pos="8838"/>
      </w:tabs>
    </w:pPr>
    <w:rPr>
      <w:rFonts w:cs="Mangal"/>
      <w:szCs w:val="21"/>
    </w:rPr>
  </w:style>
  <w:style w:type="character" w:customStyle="1" w:styleId="PiedepginaCar">
    <w:name w:val="Pie de página Car"/>
    <w:basedOn w:val="Fuentedeprrafopredeter"/>
    <w:link w:val="Piedepgina"/>
    <w:uiPriority w:val="99"/>
    <w:rsid w:val="00785F63"/>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7</Pages>
  <Words>1966</Words>
  <Characters>10814</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Dionisio Arango Botero</cp:lastModifiedBy>
  <cp:revision>4</cp:revision>
  <dcterms:created xsi:type="dcterms:W3CDTF">2025-09-30T06:12:00Z</dcterms:created>
  <dcterms:modified xsi:type="dcterms:W3CDTF">2025-09-30T06:49:00Z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2025-09-26T13:43:46Z</dcterms:created>
  <dc:creator/>
  <dc:description/>
  <dc:language>en-US</dc:language>
  <cp:lastModifiedBy/>
  <dcterms:modified xsi:type="dcterms:W3CDTF">2025-09-29T13:15:21Z</dcterms:modified>
  <cp:revision>13</cp:revision>
  <dc:subject/>
  <dc:title/>
</cp:coreProperties>
</file>